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8A14D2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978F0">
        <w:t>5</w:t>
      </w:r>
      <w:r w:rsidRPr="00CE0424">
        <w:tab/>
      </w:r>
      <w:r w:rsidR="00D77DF8" w:rsidRPr="00D77DF8">
        <w:rPr>
          <w:sz w:val="32"/>
          <w:szCs w:val="32"/>
        </w:rPr>
        <w:t>R1-1812125</w:t>
      </w:r>
    </w:p>
    <w:p w14:paraId="51C3D3E7" w14:textId="769C2DC0" w:rsidR="00E90E49" w:rsidRPr="00CE0424" w:rsidRDefault="00F978F0" w:rsidP="00311702">
      <w:pPr>
        <w:pStyle w:val="3GPPHeader"/>
      </w:pPr>
      <w:r>
        <w:t>Spokane</w:t>
      </w:r>
      <w:r w:rsidR="0027144F" w:rsidRPr="00CE0BF7">
        <w:t xml:space="preserve">, </w:t>
      </w:r>
      <w:r>
        <w:t>Washington</w:t>
      </w:r>
      <w:r w:rsidR="0027144F" w:rsidRPr="00CE0BF7">
        <w:t>,</w:t>
      </w:r>
      <w:r>
        <w:t xml:space="preserve"> USA</w:t>
      </w:r>
      <w:r w:rsidR="0027144F" w:rsidRPr="00CE0BF7">
        <w:t xml:space="preserve"> </w:t>
      </w:r>
      <w:r>
        <w:t>Novem</w:t>
      </w:r>
      <w:r w:rsidR="00770C89">
        <w:t xml:space="preserve">ber </w:t>
      </w:r>
      <w:r>
        <w:t>12</w:t>
      </w:r>
      <w:r w:rsidR="00FE7FD8">
        <w:rPr>
          <w:vertAlign w:val="superscript"/>
        </w:rPr>
        <w:t>th</w:t>
      </w:r>
      <w:r w:rsidR="00CE0BF7" w:rsidRPr="00CE0BF7">
        <w:t xml:space="preserve"> – </w:t>
      </w:r>
      <w:r w:rsidR="00770C89">
        <w:t>1</w:t>
      </w:r>
      <w:r>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68A4CE94" w:rsidR="00E90E49" w:rsidRPr="00D77DF8" w:rsidRDefault="00E90E49" w:rsidP="00311702">
      <w:pPr>
        <w:pStyle w:val="3GPPHeader"/>
        <w:rPr>
          <w:sz w:val="22"/>
          <w:szCs w:val="22"/>
          <w:lang w:val="en-US"/>
        </w:rPr>
      </w:pPr>
      <w:r w:rsidRPr="00D77DF8">
        <w:rPr>
          <w:sz w:val="22"/>
          <w:szCs w:val="22"/>
          <w:lang w:val="en-US"/>
        </w:rPr>
        <w:t>Agenda Item:</w:t>
      </w:r>
      <w:r w:rsidRPr="00D77DF8">
        <w:rPr>
          <w:sz w:val="22"/>
          <w:szCs w:val="22"/>
          <w:lang w:val="en-US"/>
        </w:rPr>
        <w:tab/>
      </w:r>
      <w:r w:rsidR="00D77DF8" w:rsidRPr="00D77DF8">
        <w:rPr>
          <w:sz w:val="22"/>
          <w:szCs w:val="22"/>
          <w:lang w:val="en-US"/>
        </w:rPr>
        <w:t>6.2.1.7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17E8AC9" w:rsidR="00E90E49" w:rsidRPr="00CE0424" w:rsidRDefault="003D3C45" w:rsidP="00311702">
      <w:pPr>
        <w:pStyle w:val="3GPPHeader"/>
        <w:rPr>
          <w:sz w:val="22"/>
          <w:szCs w:val="22"/>
        </w:rPr>
      </w:pPr>
      <w:r>
        <w:rPr>
          <w:sz w:val="22"/>
          <w:szCs w:val="22"/>
        </w:rPr>
        <w:t>Title:</w:t>
      </w:r>
      <w:r w:rsidR="00E90E49" w:rsidRPr="00CE0424">
        <w:rPr>
          <w:sz w:val="22"/>
          <w:szCs w:val="22"/>
        </w:rPr>
        <w:tab/>
      </w:r>
      <w:r w:rsidR="009F5331" w:rsidRPr="009F5331">
        <w:rPr>
          <w:sz w:val="22"/>
          <w:szCs w:val="22"/>
        </w:rPr>
        <w:t>CE mode A and B improvements for LTE-MTC non-BL UEs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DA78EA8" w14:textId="7EADC81E" w:rsidR="009F5331" w:rsidRDefault="0036333D" w:rsidP="009F5331">
      <w:pPr>
        <w:pStyle w:val="BodyText"/>
      </w:pPr>
      <w:r>
        <w:t xml:space="preserve">In the </w:t>
      </w:r>
      <w:r w:rsidR="008D47D4" w:rsidRPr="008D47D4">
        <w:t>Work Item (WI) on “</w:t>
      </w:r>
      <w:r>
        <w:t>Additional</w:t>
      </w:r>
      <w:r w:rsidR="008D47D4" w:rsidRPr="008D47D4">
        <w:t xml:space="preserve"> MTC enhancements</w:t>
      </w:r>
      <w:r>
        <w:t xml:space="preserve"> for LTE</w:t>
      </w:r>
      <w:r w:rsidR="008D47D4" w:rsidRPr="008D47D4">
        <w:t>”</w:t>
      </w:r>
      <w:r w:rsidR="00DC47B3">
        <w:t xml:space="preserve"> [1</w:t>
      </w:r>
      <w:r w:rsidR="008D47D4">
        <w:t>]</w:t>
      </w:r>
      <w:r w:rsidR="00DC47B3">
        <w:t>,</w:t>
      </w:r>
      <w:r w:rsidR="009F5331">
        <w:t xml:space="preserve"> one </w:t>
      </w:r>
      <w:r>
        <w:t xml:space="preserve">of the </w:t>
      </w:r>
      <w:r w:rsidR="009F5331">
        <w:t>objective</w:t>
      </w:r>
      <w:r>
        <w:t>s</w:t>
      </w:r>
      <w:r w:rsidR="009F5331">
        <w:t xml:space="preserve"> is to specify </w:t>
      </w:r>
      <w:r w:rsidR="009F5331" w:rsidRPr="00BC3E9F">
        <w:t>CE mode A and B i</w:t>
      </w:r>
      <w:r w:rsidR="009F5331">
        <w:t xml:space="preserve">mprovements for non-BL UEs from among the techniques </w:t>
      </w:r>
      <w:r w:rsidR="009F5331" w:rsidRPr="00BC3E9F">
        <w:t>list</w:t>
      </w:r>
      <w:r w:rsidR="009F5331">
        <w:t>ed below:</w:t>
      </w:r>
    </w:p>
    <w:p w14:paraId="40187FB9" w14:textId="77777777" w:rsidR="009F5331" w:rsidRDefault="009F5331" w:rsidP="009F5331">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9F5331" w14:paraId="073F7C52" w14:textId="77777777" w:rsidTr="00874CF5">
        <w:tc>
          <w:tcPr>
            <w:tcW w:w="9629" w:type="dxa"/>
            <w:tcBorders>
              <w:top w:val="double" w:sz="4" w:space="0" w:color="auto"/>
              <w:left w:val="single" w:sz="4" w:space="0" w:color="auto"/>
              <w:bottom w:val="single" w:sz="4" w:space="0" w:color="auto"/>
              <w:right w:val="single" w:sz="4" w:space="0" w:color="auto"/>
            </w:tcBorders>
            <w:hideMark/>
          </w:tcPr>
          <w:p w14:paraId="06E8BAFF" w14:textId="77777777" w:rsidR="009F5331" w:rsidRPr="009F5331" w:rsidRDefault="009F5331" w:rsidP="00874CF5">
            <w:pPr>
              <w:spacing w:after="0"/>
              <w:rPr>
                <w:b/>
                <w:bCs/>
                <w:sz w:val="20"/>
                <w:lang w:eastAsia="en-US"/>
              </w:rPr>
            </w:pPr>
            <w:r w:rsidRPr="009F5331">
              <w:rPr>
                <w:b/>
                <w:bCs/>
                <w:sz w:val="20"/>
              </w:rPr>
              <w:t>Extreme coverage for non-BL UEs:</w:t>
            </w:r>
          </w:p>
          <w:p w14:paraId="295A737F" w14:textId="77777777" w:rsidR="009F5331" w:rsidRPr="009F5331" w:rsidRDefault="009F5331" w:rsidP="009F5331">
            <w:pPr>
              <w:numPr>
                <w:ilvl w:val="0"/>
                <w:numId w:val="25"/>
              </w:numPr>
              <w:spacing w:after="0"/>
              <w:textAlignment w:val="auto"/>
              <w:rPr>
                <w:bCs/>
                <w:sz w:val="20"/>
              </w:rPr>
            </w:pPr>
            <w:r w:rsidRPr="009F5331">
              <w:rPr>
                <w:bCs/>
                <w:sz w:val="20"/>
              </w:rPr>
              <w:t>Specify CE mode A and B improvements for non-BL UEs from among the following list [RAN1, RAN2, RAN4]</w:t>
            </w:r>
          </w:p>
          <w:p w14:paraId="0E0DA515" w14:textId="77777777" w:rsidR="009F5331" w:rsidRPr="009F5331" w:rsidRDefault="009F5331" w:rsidP="009F5331">
            <w:pPr>
              <w:numPr>
                <w:ilvl w:val="1"/>
                <w:numId w:val="25"/>
              </w:numPr>
              <w:spacing w:after="0"/>
              <w:textAlignment w:val="auto"/>
              <w:rPr>
                <w:bCs/>
                <w:sz w:val="20"/>
              </w:rPr>
            </w:pPr>
            <w:bookmarkStart w:id="0" w:name="_Hlk521496697"/>
            <w:r w:rsidRPr="009F5331">
              <w:rPr>
                <w:bCs/>
                <w:sz w:val="20"/>
              </w:rPr>
              <w:t>Enhancements to idle mode mobility</w:t>
            </w:r>
          </w:p>
          <w:p w14:paraId="3C82D738" w14:textId="77777777" w:rsidR="009F5331" w:rsidRPr="009F5331" w:rsidRDefault="009F5331" w:rsidP="009F5331">
            <w:pPr>
              <w:numPr>
                <w:ilvl w:val="1"/>
                <w:numId w:val="25"/>
              </w:numPr>
              <w:spacing w:after="0"/>
              <w:textAlignment w:val="auto"/>
              <w:rPr>
                <w:bCs/>
                <w:sz w:val="20"/>
              </w:rPr>
            </w:pPr>
            <w:r w:rsidRPr="009F5331">
              <w:rPr>
                <w:bCs/>
                <w:sz w:val="20"/>
              </w:rPr>
              <w:t>UE demodulation performance requirements for 2 RX antennas and full duplex FDD</w:t>
            </w:r>
          </w:p>
          <w:p w14:paraId="028748DA" w14:textId="77777777" w:rsidR="009F5331" w:rsidRPr="009F5331" w:rsidRDefault="009F5331" w:rsidP="009F5331">
            <w:pPr>
              <w:numPr>
                <w:ilvl w:val="1"/>
                <w:numId w:val="25"/>
              </w:numPr>
              <w:spacing w:after="0"/>
              <w:textAlignment w:val="auto"/>
              <w:rPr>
                <w:bCs/>
                <w:sz w:val="20"/>
              </w:rPr>
            </w:pPr>
            <w:r w:rsidRPr="009F5331">
              <w:rPr>
                <w:bCs/>
                <w:sz w:val="20"/>
              </w:rPr>
              <w:t>Dual layer DL reception</w:t>
            </w:r>
          </w:p>
          <w:p w14:paraId="1B028DF1" w14:textId="77777777" w:rsidR="009F5331" w:rsidRPr="009F5331" w:rsidRDefault="009F5331" w:rsidP="009F5331">
            <w:pPr>
              <w:numPr>
                <w:ilvl w:val="1"/>
                <w:numId w:val="25"/>
              </w:numPr>
              <w:spacing w:after="0"/>
              <w:textAlignment w:val="auto"/>
              <w:rPr>
                <w:bCs/>
                <w:sz w:val="20"/>
              </w:rPr>
            </w:pPr>
            <w:r w:rsidRPr="009F5331">
              <w:rPr>
                <w:bCs/>
                <w:sz w:val="20"/>
              </w:rPr>
              <w:t>Feedback based on CSI-RS</w:t>
            </w:r>
          </w:p>
          <w:p w14:paraId="282D33A6" w14:textId="77777777" w:rsidR="009118DB" w:rsidRPr="009118DB" w:rsidRDefault="009F5331" w:rsidP="009118DB">
            <w:pPr>
              <w:numPr>
                <w:ilvl w:val="1"/>
                <w:numId w:val="25"/>
              </w:numPr>
              <w:spacing w:after="0"/>
              <w:textAlignment w:val="auto"/>
              <w:rPr>
                <w:bCs/>
              </w:rPr>
            </w:pPr>
            <w:r w:rsidRPr="009F5331">
              <w:rPr>
                <w:bCs/>
                <w:sz w:val="20"/>
              </w:rPr>
              <w:t>ETWS/CMAS in connected mode</w:t>
            </w:r>
            <w:bookmarkEnd w:id="0"/>
          </w:p>
          <w:p w14:paraId="4C0C199D" w14:textId="36885B8E" w:rsidR="009118DB" w:rsidRPr="009118DB" w:rsidRDefault="009118DB" w:rsidP="00511525">
            <w:pPr>
              <w:spacing w:after="0"/>
              <w:ind w:left="1440"/>
              <w:textAlignment w:val="auto"/>
              <w:rPr>
                <w:bCs/>
              </w:rPr>
            </w:pPr>
          </w:p>
        </w:tc>
      </w:tr>
    </w:tbl>
    <w:p w14:paraId="299118ED" w14:textId="77777777" w:rsidR="009F5331" w:rsidRDefault="009F5331" w:rsidP="009F5331">
      <w:pPr>
        <w:pStyle w:val="BodyText"/>
      </w:pPr>
    </w:p>
    <w:p w14:paraId="191A8FC7" w14:textId="571B34BC" w:rsidR="0056723A" w:rsidRDefault="00770C89" w:rsidP="00770C89">
      <w:pPr>
        <w:pStyle w:val="BodyText"/>
      </w:pPr>
      <w:r>
        <w:t>In</w:t>
      </w:r>
      <w:r w:rsidR="00F978F0">
        <w:t xml:space="preserve"> RAN1 #94</w:t>
      </w:r>
      <w:r w:rsidR="00851E53">
        <w:t xml:space="preserve"> it was agreed </w:t>
      </w:r>
      <w:r w:rsidR="0056723A">
        <w:t>focusing</w:t>
      </w:r>
      <w:r w:rsidR="00EB5C7A">
        <w:t xml:space="preserve"> </w:t>
      </w:r>
      <w:r w:rsidR="00F978F0">
        <w:t>on</w:t>
      </w:r>
      <w:r w:rsidR="00EB5C7A">
        <w:t xml:space="preserve"> both</w:t>
      </w:r>
      <w:r w:rsidR="00F978F0">
        <w:t xml:space="preserve"> “Dual layer DL reception” and “Feedback based on CSI-</w:t>
      </w:r>
      <w:r w:rsidR="00F978F0" w:rsidRPr="00124406">
        <w:t>RS</w:t>
      </w:r>
      <w:r w:rsidR="003861E1" w:rsidRPr="00124406">
        <w:t xml:space="preserve"> [</w:t>
      </w:r>
      <w:r w:rsidR="00124406" w:rsidRPr="00124406">
        <w:t>2</w:t>
      </w:r>
      <w:r w:rsidR="003861E1" w:rsidRPr="00124406">
        <w:t>]</w:t>
      </w:r>
      <w:r w:rsidR="00F978F0" w:rsidRPr="00124406">
        <w:t>.</w:t>
      </w:r>
      <w:r w:rsidR="0056723A" w:rsidRPr="00124406">
        <w:t xml:space="preserve"> More recently, i</w:t>
      </w:r>
      <w:r w:rsidR="00F978F0" w:rsidRPr="00124406">
        <w:t xml:space="preserve">n </w:t>
      </w:r>
      <w:r w:rsidRPr="00124406">
        <w:t>RAN1 #94</w:t>
      </w:r>
      <w:r w:rsidR="00F978F0" w:rsidRPr="00124406">
        <w:t>bis</w:t>
      </w:r>
      <w:r w:rsidRPr="00124406">
        <w:t xml:space="preserve"> the following agreements were reached</w:t>
      </w:r>
      <w:r w:rsidR="003861E1" w:rsidRPr="00124406">
        <w:t xml:space="preserve"> [</w:t>
      </w:r>
      <w:r w:rsidR="00124406" w:rsidRPr="00124406">
        <w:t>3</w:t>
      </w:r>
      <w:r w:rsidR="003861E1" w:rsidRPr="00124406">
        <w:t>]</w:t>
      </w:r>
      <w:r w:rsidRPr="00124406">
        <w:t>.</w:t>
      </w:r>
    </w:p>
    <w:p w14:paraId="09A5811E" w14:textId="77777777" w:rsidR="009118DB" w:rsidRDefault="009118DB" w:rsidP="00770C89">
      <w:pPr>
        <w:pStyle w:val="BodyText"/>
      </w:pP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56723A" w14:paraId="7ACD8333" w14:textId="77777777" w:rsidTr="007E3E93">
        <w:trPr>
          <w:trHeight w:val="126"/>
        </w:trPr>
        <w:tc>
          <w:tcPr>
            <w:tcW w:w="4814" w:type="dxa"/>
            <w:tcBorders>
              <w:top w:val="double" w:sz="4" w:space="0" w:color="auto"/>
              <w:left w:val="single" w:sz="4" w:space="0" w:color="auto"/>
              <w:bottom w:val="double" w:sz="4" w:space="0" w:color="auto"/>
              <w:right w:val="single" w:sz="4" w:space="0" w:color="auto"/>
            </w:tcBorders>
            <w:hideMark/>
          </w:tcPr>
          <w:p w14:paraId="459C50A2" w14:textId="47999E35" w:rsidR="0056723A" w:rsidRPr="009F5331" w:rsidRDefault="0056723A" w:rsidP="0056723A">
            <w:pPr>
              <w:overflowPunct/>
              <w:autoSpaceDE/>
              <w:autoSpaceDN/>
              <w:adjustRightInd/>
              <w:spacing w:after="0"/>
              <w:jc w:val="center"/>
              <w:textAlignment w:val="auto"/>
              <w:rPr>
                <w:bCs/>
                <w:lang w:val="en-US"/>
              </w:rPr>
            </w:pPr>
            <w:r>
              <w:rPr>
                <w:bCs/>
                <w:lang w:val="en-US"/>
              </w:rPr>
              <w:t>Dual layer DL reception</w:t>
            </w:r>
          </w:p>
        </w:tc>
        <w:tc>
          <w:tcPr>
            <w:tcW w:w="4815" w:type="dxa"/>
            <w:tcBorders>
              <w:top w:val="double" w:sz="4" w:space="0" w:color="auto"/>
              <w:left w:val="single" w:sz="4" w:space="0" w:color="auto"/>
              <w:bottom w:val="double" w:sz="4" w:space="0" w:color="auto"/>
              <w:right w:val="single" w:sz="4" w:space="0" w:color="auto"/>
            </w:tcBorders>
          </w:tcPr>
          <w:p w14:paraId="2C92121C" w14:textId="3B5705D3" w:rsidR="0056723A" w:rsidRPr="009F5331" w:rsidRDefault="0056723A" w:rsidP="0056723A">
            <w:pPr>
              <w:overflowPunct/>
              <w:autoSpaceDE/>
              <w:autoSpaceDN/>
              <w:adjustRightInd/>
              <w:spacing w:after="0"/>
              <w:jc w:val="center"/>
              <w:textAlignment w:val="auto"/>
              <w:rPr>
                <w:bCs/>
                <w:lang w:val="en-US"/>
              </w:rPr>
            </w:pPr>
            <w:r>
              <w:rPr>
                <w:bCs/>
                <w:lang w:val="en-US"/>
              </w:rPr>
              <w:t>Feedback based on CSI-RS</w:t>
            </w:r>
          </w:p>
        </w:tc>
      </w:tr>
      <w:tr w:rsidR="0056723A" w14:paraId="3FEA1D4E" w14:textId="77777777" w:rsidTr="007E3E93">
        <w:trPr>
          <w:trHeight w:val="126"/>
        </w:trPr>
        <w:tc>
          <w:tcPr>
            <w:tcW w:w="4814" w:type="dxa"/>
            <w:tcBorders>
              <w:top w:val="double" w:sz="4" w:space="0" w:color="auto"/>
              <w:left w:val="single" w:sz="4" w:space="0" w:color="auto"/>
              <w:bottom w:val="single" w:sz="4" w:space="0" w:color="auto"/>
              <w:right w:val="single" w:sz="4" w:space="0" w:color="auto"/>
            </w:tcBorders>
          </w:tcPr>
          <w:p w14:paraId="0636D4C2" w14:textId="77777777" w:rsidR="009118DB" w:rsidRDefault="009118DB" w:rsidP="009118DB">
            <w:pPr>
              <w:rPr>
                <w:rFonts w:ascii="Arial" w:hAnsi="Arial" w:cs="Arial"/>
                <w:b/>
                <w:sz w:val="20"/>
                <w:highlight w:val="green"/>
                <w:lang w:val="en-US" w:eastAsia="x-none"/>
              </w:rPr>
            </w:pPr>
          </w:p>
          <w:p w14:paraId="2A0B7FA0" w14:textId="692331B5" w:rsidR="009118DB" w:rsidRPr="009118DB" w:rsidRDefault="009118DB" w:rsidP="009118DB">
            <w:pPr>
              <w:rPr>
                <w:rFonts w:ascii="Arial" w:hAnsi="Arial" w:cs="Arial"/>
                <w:b/>
                <w:sz w:val="20"/>
                <w:highlight w:val="green"/>
                <w:lang w:val="en-US" w:eastAsia="x-none"/>
              </w:rPr>
            </w:pPr>
            <w:r w:rsidRPr="009118DB">
              <w:rPr>
                <w:rFonts w:ascii="Arial" w:hAnsi="Arial" w:cs="Arial"/>
                <w:b/>
                <w:sz w:val="20"/>
                <w:highlight w:val="green"/>
                <w:lang w:val="en-US" w:eastAsia="x-none"/>
              </w:rPr>
              <w:t xml:space="preserve">Agreement </w:t>
            </w:r>
          </w:p>
          <w:p w14:paraId="2A5E9093" w14:textId="47C2CD4F" w:rsidR="009118DB" w:rsidRPr="009118DB" w:rsidRDefault="009118DB" w:rsidP="009118DB">
            <w:pPr>
              <w:rPr>
                <w:rFonts w:ascii="Arial" w:hAnsi="Arial" w:cs="Arial"/>
                <w:sz w:val="20"/>
                <w:lang w:val="en-US" w:eastAsia="x-none"/>
              </w:rPr>
            </w:pPr>
            <w:r w:rsidRPr="009118DB">
              <w:rPr>
                <w:rFonts w:ascii="Arial" w:hAnsi="Arial" w:cs="Arial"/>
                <w:sz w:val="20"/>
                <w:lang w:val="en-US" w:eastAsia="x-none"/>
              </w:rPr>
              <w:t>Dual-layer transmission is not supported for non-BL UEs in CE mode B</w:t>
            </w:r>
          </w:p>
          <w:p w14:paraId="6AA48DB2" w14:textId="23EC2D08" w:rsidR="009118DB" w:rsidRPr="009118DB" w:rsidRDefault="009118DB" w:rsidP="009118DB">
            <w:pPr>
              <w:rPr>
                <w:rFonts w:ascii="Arial" w:hAnsi="Arial" w:cs="Arial"/>
                <w:sz w:val="20"/>
                <w:highlight w:val="cyan"/>
                <w:lang w:eastAsia="x-none"/>
              </w:rPr>
            </w:pPr>
            <w:r w:rsidRPr="009118DB">
              <w:rPr>
                <w:rFonts w:ascii="Arial" w:hAnsi="Arial" w:cs="Arial"/>
                <w:sz w:val="20"/>
                <w:highlight w:val="cyan"/>
                <w:lang w:eastAsia="x-none"/>
              </w:rPr>
              <w:t>Email discussion for evaluation parameters for dual layer transmission simulations by 19</w:t>
            </w:r>
            <w:r w:rsidRPr="009118DB">
              <w:rPr>
                <w:rFonts w:ascii="Arial" w:hAnsi="Arial" w:cs="Arial"/>
                <w:sz w:val="20"/>
                <w:highlight w:val="cyan"/>
                <w:vertAlign w:val="superscript"/>
                <w:lang w:eastAsia="x-none"/>
              </w:rPr>
              <w:t>th</w:t>
            </w:r>
            <w:r w:rsidRPr="009118DB">
              <w:rPr>
                <w:rFonts w:ascii="Arial" w:hAnsi="Arial" w:cs="Arial"/>
                <w:sz w:val="20"/>
                <w:highlight w:val="cyan"/>
                <w:lang w:eastAsia="x-none"/>
              </w:rPr>
              <w:t xml:space="preserve"> of October (Changhwan, LGE)</w:t>
            </w:r>
          </w:p>
        </w:tc>
        <w:tc>
          <w:tcPr>
            <w:tcW w:w="4815" w:type="dxa"/>
            <w:tcBorders>
              <w:top w:val="double" w:sz="4" w:space="0" w:color="auto"/>
              <w:left w:val="single" w:sz="4" w:space="0" w:color="auto"/>
              <w:bottom w:val="single" w:sz="4" w:space="0" w:color="auto"/>
              <w:right w:val="single" w:sz="4" w:space="0" w:color="auto"/>
            </w:tcBorders>
          </w:tcPr>
          <w:p w14:paraId="34D8DF8E" w14:textId="77777777" w:rsidR="009118DB" w:rsidRDefault="009118DB" w:rsidP="009118DB">
            <w:pPr>
              <w:rPr>
                <w:rFonts w:ascii="Arial" w:hAnsi="Arial" w:cs="Arial"/>
                <w:b/>
                <w:sz w:val="20"/>
                <w:highlight w:val="green"/>
                <w:lang w:val="en-US" w:eastAsia="x-none"/>
              </w:rPr>
            </w:pPr>
          </w:p>
          <w:p w14:paraId="59DA284E" w14:textId="008CCE74" w:rsidR="009118DB" w:rsidRPr="009118DB" w:rsidRDefault="009118DB" w:rsidP="009118DB">
            <w:pPr>
              <w:rPr>
                <w:rFonts w:ascii="Arial" w:hAnsi="Arial" w:cs="Arial"/>
                <w:b/>
                <w:sz w:val="20"/>
                <w:highlight w:val="green"/>
                <w:lang w:val="en-US" w:eastAsia="x-none"/>
              </w:rPr>
            </w:pPr>
            <w:r w:rsidRPr="009118DB">
              <w:rPr>
                <w:rFonts w:ascii="Arial" w:hAnsi="Arial" w:cs="Arial"/>
                <w:b/>
                <w:sz w:val="20"/>
                <w:highlight w:val="green"/>
                <w:lang w:val="en-US" w:eastAsia="x-none"/>
              </w:rPr>
              <w:t xml:space="preserve">Agreement </w:t>
            </w:r>
          </w:p>
          <w:p w14:paraId="21493133" w14:textId="77777777" w:rsidR="009118DB" w:rsidRPr="009118DB" w:rsidRDefault="009118DB" w:rsidP="009118DB">
            <w:pPr>
              <w:rPr>
                <w:rFonts w:ascii="Arial" w:hAnsi="Arial" w:cs="Arial"/>
                <w:sz w:val="36"/>
                <w:lang w:eastAsia="x-none"/>
              </w:rPr>
            </w:pPr>
            <w:r w:rsidRPr="009118DB">
              <w:rPr>
                <w:rFonts w:ascii="Arial" w:hAnsi="Arial" w:cs="Arial"/>
                <w:sz w:val="20"/>
              </w:rPr>
              <w:t>CSI-RS based CSI feedback is not supported for non-BL UEs at least in CE mode B</w:t>
            </w:r>
          </w:p>
          <w:p w14:paraId="09DEB59E" w14:textId="1FDFE017" w:rsidR="0056723A" w:rsidRPr="009118DB" w:rsidRDefault="0056723A" w:rsidP="0056723A">
            <w:pPr>
              <w:overflowPunct/>
              <w:autoSpaceDE/>
              <w:autoSpaceDN/>
              <w:adjustRightInd/>
              <w:spacing w:after="0"/>
              <w:textAlignment w:val="auto"/>
              <w:rPr>
                <w:bCs/>
              </w:rPr>
            </w:pPr>
          </w:p>
        </w:tc>
      </w:tr>
    </w:tbl>
    <w:p w14:paraId="0A71F32F" w14:textId="660CBEA2" w:rsidR="00770C89" w:rsidRDefault="00770C89" w:rsidP="00CE0424">
      <w:pPr>
        <w:pStyle w:val="BodyText"/>
      </w:pPr>
    </w:p>
    <w:p w14:paraId="7A664AB9" w14:textId="55CC3159" w:rsidR="00D77DF8" w:rsidRDefault="00D77DF8" w:rsidP="00CE0424">
      <w:pPr>
        <w:pStyle w:val="BodyText"/>
      </w:pPr>
      <w:r>
        <w:t>The e-mail discussion resulted in the following agreement, highlighting that “</w:t>
      </w:r>
      <w:r w:rsidRPr="00D77DF8">
        <w:rPr>
          <w:rFonts w:ascii="Calibri" w:hAnsi="Calibri" w:cs="Calibri"/>
          <w:i/>
          <w:sz w:val="22"/>
          <w:szCs w:val="22"/>
          <w:lang w:val="en-US" w:eastAsia="ja-JP"/>
        </w:rPr>
        <w:t>The SNR range is to be discussed, aiming to conclude in RAN1#95</w:t>
      </w:r>
      <w:r>
        <w:t>”.</w:t>
      </w:r>
    </w:p>
    <w:tbl>
      <w:tblPr>
        <w:tblStyle w:val="TableGrid"/>
        <w:tblW w:w="0" w:type="auto"/>
        <w:tblBorders>
          <w:top w:val="double" w:sz="4" w:space="0" w:color="auto"/>
        </w:tblBorders>
        <w:tblLook w:val="04A0" w:firstRow="1" w:lastRow="0" w:firstColumn="1" w:lastColumn="0" w:noHBand="0" w:noVBand="1"/>
      </w:tblPr>
      <w:tblGrid>
        <w:gridCol w:w="9629"/>
      </w:tblGrid>
      <w:tr w:rsidR="00D77DF8" w14:paraId="13D84732" w14:textId="77777777" w:rsidTr="00D77DF8">
        <w:tc>
          <w:tcPr>
            <w:tcW w:w="9629" w:type="dxa"/>
          </w:tcPr>
          <w:p w14:paraId="42F9898F" w14:textId="77777777" w:rsidR="00D77DF8" w:rsidRDefault="00D77DF8" w:rsidP="00D77DF8">
            <w:pPr>
              <w:rPr>
                <w:rFonts w:ascii="Calibri" w:hAnsi="Calibri" w:cs="Calibri"/>
                <w:lang w:val="en-US" w:eastAsia="sv-SE"/>
              </w:rPr>
            </w:pPr>
            <w:r>
              <w:rPr>
                <w:rFonts w:ascii="Calibri" w:hAnsi="Calibri" w:cs="Calibri"/>
                <w:highlight w:val="green"/>
                <w:lang w:val="en-US"/>
              </w:rPr>
              <w:t>Agreements</w:t>
            </w:r>
            <w:r>
              <w:rPr>
                <w:rFonts w:ascii="Calibri" w:hAnsi="Calibri" w:cs="Calibri"/>
                <w:lang w:val="en-US"/>
              </w:rPr>
              <w:t>:</w:t>
            </w:r>
          </w:p>
          <w:p w14:paraId="7A1F1301" w14:textId="77777777" w:rsidR="00D77DF8" w:rsidRDefault="00D77DF8" w:rsidP="00D77DF8">
            <w:pPr>
              <w:numPr>
                <w:ilvl w:val="0"/>
                <w:numId w:val="34"/>
              </w:numPr>
              <w:overflowPunct/>
              <w:autoSpaceDE/>
              <w:autoSpaceDN/>
              <w:adjustRightInd/>
              <w:spacing w:after="0"/>
              <w:textAlignment w:val="auto"/>
              <w:rPr>
                <w:rFonts w:ascii="Calibri" w:eastAsia="Times New Roman" w:hAnsi="Calibri" w:cs="Calibri"/>
                <w:lang w:val="en-US"/>
              </w:rPr>
            </w:pPr>
            <w:r>
              <w:rPr>
                <w:rFonts w:ascii="Calibri" w:eastAsia="Times New Roman" w:hAnsi="Calibri" w:cs="Calibri"/>
                <w:lang w:val="en-US"/>
              </w:rPr>
              <w:t>T-put performance metric based on Rank 1 and Rank 2 will be shown by Hull-curve against SNR according to the simulation parameters given in Table 1</w:t>
            </w:r>
            <w:r>
              <w:rPr>
                <w:rFonts w:eastAsia="Times New Roman"/>
                <w:lang w:val="en-US"/>
              </w:rPr>
              <w:t xml:space="preserve"> </w:t>
            </w:r>
          </w:p>
          <w:p w14:paraId="152913CA" w14:textId="77777777" w:rsidR="00D77DF8" w:rsidRDefault="00D77DF8" w:rsidP="00D77DF8">
            <w:pPr>
              <w:numPr>
                <w:ilvl w:val="1"/>
                <w:numId w:val="34"/>
              </w:numPr>
              <w:overflowPunct/>
              <w:autoSpaceDE/>
              <w:autoSpaceDN/>
              <w:adjustRightInd/>
              <w:spacing w:after="0"/>
              <w:textAlignment w:val="auto"/>
              <w:rPr>
                <w:rFonts w:ascii="Calibri" w:eastAsia="Times New Roman" w:hAnsi="Calibri" w:cs="Calibri"/>
                <w:lang w:val="en-US"/>
              </w:rPr>
            </w:pPr>
            <w:r>
              <w:rPr>
                <w:rFonts w:ascii="Calibri" w:eastAsia="Times New Roman" w:hAnsi="Calibri" w:cs="Calibri"/>
                <w:lang w:val="en-US"/>
              </w:rPr>
              <w:t>The SNR range is to be discussed, aiming to conclude in RAN1#95</w:t>
            </w:r>
            <w:r>
              <w:rPr>
                <w:rFonts w:eastAsia="Times New Roman"/>
                <w:lang w:val="en-US"/>
              </w:rPr>
              <w:t xml:space="preserve"> </w:t>
            </w:r>
          </w:p>
          <w:p w14:paraId="63E8DAC3" w14:textId="77777777" w:rsidR="00D77DF8" w:rsidRDefault="00D77DF8" w:rsidP="00D77DF8">
            <w:pPr>
              <w:numPr>
                <w:ilvl w:val="2"/>
                <w:numId w:val="34"/>
              </w:numPr>
              <w:overflowPunct/>
              <w:autoSpaceDE/>
              <w:autoSpaceDN/>
              <w:adjustRightInd/>
              <w:spacing w:after="0"/>
              <w:textAlignment w:val="auto"/>
              <w:rPr>
                <w:rFonts w:ascii="Calibri" w:eastAsia="Times New Roman" w:hAnsi="Calibri" w:cs="Calibri"/>
                <w:lang w:val="en-US"/>
              </w:rPr>
            </w:pPr>
            <w:r>
              <w:rPr>
                <w:rFonts w:ascii="Calibri" w:eastAsia="Times New Roman" w:hAnsi="Calibri" w:cs="Calibri"/>
                <w:lang w:val="en-US"/>
              </w:rPr>
              <w:lastRenderedPageBreak/>
              <w:t>In proposing the SNR range, companies are encouraged to check the WID and perform appropriate analysis considering relevant aspects related to non-BL &amp; CE mode A</w:t>
            </w:r>
          </w:p>
          <w:p w14:paraId="771D5563" w14:textId="77777777" w:rsidR="00D77DF8" w:rsidRDefault="00D77DF8" w:rsidP="00D77DF8">
            <w:pPr>
              <w:rPr>
                <w:rFonts w:ascii="Calibri" w:eastAsiaTheme="minorHAnsi" w:hAnsi="Calibri" w:cs="Calibri"/>
                <w:lang w:val="en-US"/>
              </w:rPr>
            </w:pPr>
          </w:p>
          <w:p w14:paraId="3B619C0B" w14:textId="77777777" w:rsidR="00D77DF8" w:rsidRDefault="00D77DF8" w:rsidP="00D77DF8">
            <w:pPr>
              <w:rPr>
                <w:rFonts w:ascii="Calibri" w:hAnsi="Calibri" w:cs="Calibri"/>
                <w:lang w:val="en-US"/>
              </w:rPr>
            </w:pPr>
            <w:r>
              <w:rPr>
                <w:rFonts w:ascii="Calibri" w:hAnsi="Calibri" w:cs="Calibri"/>
                <w:lang w:val="en-US"/>
              </w:rPr>
              <w:t>Table 1. Link-level simulation parameters for Dual-layer transmission for non-BL UEs in CE mode A</w:t>
            </w:r>
          </w:p>
          <w:tbl>
            <w:tblPr>
              <w:tblW w:w="8960" w:type="dxa"/>
              <w:tblCellMar>
                <w:left w:w="0" w:type="dxa"/>
                <w:right w:w="0" w:type="dxa"/>
              </w:tblCellMar>
              <w:tblLook w:val="04A0" w:firstRow="1" w:lastRow="0" w:firstColumn="1" w:lastColumn="0" w:noHBand="0" w:noVBand="1"/>
            </w:tblPr>
            <w:tblGrid>
              <w:gridCol w:w="3180"/>
              <w:gridCol w:w="5780"/>
            </w:tblGrid>
            <w:tr w:rsidR="00D77DF8" w14:paraId="16FD67EF" w14:textId="77777777" w:rsidTr="00D77DF8">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2AAC2D2F" w14:textId="77777777" w:rsidR="00D77DF8" w:rsidRDefault="00D77DF8" w:rsidP="00D77DF8">
                  <w:pPr>
                    <w:pStyle w:val="TAH"/>
                    <w:rPr>
                      <w:rFonts w:cs="Arial"/>
                      <w:szCs w:val="18"/>
                      <w:lang w:val="sv-SE"/>
                    </w:rPr>
                  </w:pPr>
                  <w: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2A4E4016" w14:textId="77777777" w:rsidR="00D77DF8" w:rsidRDefault="00D77DF8" w:rsidP="00D77DF8">
                  <w:pPr>
                    <w:pStyle w:val="TAH"/>
                    <w:rPr>
                      <w:sz w:val="20"/>
                    </w:rPr>
                  </w:pPr>
                  <w:r>
                    <w:t>Value</w:t>
                  </w:r>
                </w:p>
              </w:tc>
            </w:tr>
            <w:tr w:rsidR="00D77DF8" w14:paraId="07966671" w14:textId="77777777" w:rsidTr="00D77DF8">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1288EA6F" w14:textId="77777777" w:rsidR="00D77DF8" w:rsidRDefault="00D77DF8" w:rsidP="00D77DF8">
                  <w:pPr>
                    <w:pStyle w:val="TAL"/>
                  </w:pPr>
                  <w: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996570D" w14:textId="77777777" w:rsidR="00D77DF8" w:rsidRDefault="00D77DF8" w:rsidP="00D77DF8">
                  <w:pPr>
                    <w:pStyle w:val="TAL"/>
                  </w:pPr>
                  <w:r>
                    <w:t>700MHz</w:t>
                  </w:r>
                </w:p>
              </w:tc>
            </w:tr>
            <w:tr w:rsidR="00D77DF8" w14:paraId="673D0E5E" w14:textId="77777777" w:rsidTr="00D77DF8">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FE4B2ED" w14:textId="77777777" w:rsidR="00D77DF8" w:rsidRDefault="00D77DF8" w:rsidP="00D77DF8">
                  <w:pPr>
                    <w:pStyle w:val="TAL"/>
                  </w:pPr>
                  <w: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3B0F893" w14:textId="77777777" w:rsidR="00D77DF8" w:rsidRDefault="00D77DF8" w:rsidP="00D77DF8">
                  <w:pPr>
                    <w:pStyle w:val="TAL"/>
                  </w:pPr>
                  <w:r>
                    <w:t xml:space="preserve">EPA with low correlation according to </w:t>
                  </w:r>
                  <w:r>
                    <w:rPr>
                      <w:lang w:val="en-GB"/>
                    </w:rPr>
                    <w:t>Table</w:t>
                  </w:r>
                  <w:r>
                    <w:rPr>
                      <w:lang w:val="en-GB" w:eastAsia="zh-CN"/>
                    </w:rPr>
                    <w:t xml:space="preserve"> B.5.2-2 in </w:t>
                  </w:r>
                  <w:r>
                    <w:t>TS 36.104</w:t>
                  </w:r>
                </w:p>
              </w:tc>
            </w:tr>
            <w:tr w:rsidR="00D77DF8" w14:paraId="63874CE1"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C5D2CCD" w14:textId="77777777" w:rsidR="00D77DF8" w:rsidRDefault="00D77DF8" w:rsidP="00D77DF8">
                  <w:pPr>
                    <w:pStyle w:val="TAL"/>
                  </w:pPr>
                  <w:r>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D8C8998" w14:textId="77777777" w:rsidR="00D77DF8" w:rsidRDefault="00D77DF8" w:rsidP="00D77DF8">
                  <w:pPr>
                    <w:pStyle w:val="TAL"/>
                  </w:pPr>
                  <w:r>
                    <w:t>4 Tx, Cross-polarization: +/-45 degrees</w:t>
                  </w:r>
                </w:p>
              </w:tc>
            </w:tr>
            <w:tr w:rsidR="00D77DF8" w14:paraId="0DC1ADC4" w14:textId="77777777" w:rsidTr="00D77DF8">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89D4A93" w14:textId="77777777" w:rsidR="00D77DF8" w:rsidRDefault="00D77DF8" w:rsidP="00D77DF8">
                  <w:pPr>
                    <w:pStyle w:val="TAL"/>
                  </w:pPr>
                  <w: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42C664" w14:textId="77777777" w:rsidR="00D77DF8" w:rsidRDefault="00D77DF8" w:rsidP="00D77DF8">
                  <w:pPr>
                    <w:pStyle w:val="TAL"/>
                  </w:pPr>
                  <w:r>
                    <w:rPr>
                      <w:lang w:val="it-IT"/>
                    </w:rPr>
                    <w:t>Speed: 1km/h</w:t>
                  </w:r>
                </w:p>
              </w:tc>
            </w:tr>
            <w:tr w:rsidR="00D77DF8" w14:paraId="5586FBD0" w14:textId="77777777" w:rsidTr="00D77DF8">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5A33FDF6" w14:textId="77777777" w:rsidR="00D77DF8" w:rsidRDefault="00D77DF8" w:rsidP="00D77DF8">
                  <w:pPr>
                    <w:rPr>
                      <w:rFonts w:ascii="Arial" w:hAnsi="Arial" w:cs="Arial"/>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7A2A454" w14:textId="77777777" w:rsidR="00D77DF8" w:rsidRDefault="00D77DF8" w:rsidP="00D77DF8">
                  <w:pPr>
                    <w:pStyle w:val="TAL"/>
                  </w:pPr>
                  <w:r>
                    <w:t>2 Rx with X-polarized: 0/+90 degrees</w:t>
                  </w:r>
                </w:p>
              </w:tc>
            </w:tr>
            <w:tr w:rsidR="00D77DF8" w14:paraId="603CB243" w14:textId="77777777" w:rsidTr="00D77DF8">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6773779" w14:textId="77777777" w:rsidR="00D77DF8" w:rsidRDefault="00D77DF8" w:rsidP="00D77DF8">
                  <w:pPr>
                    <w:pStyle w:val="TAL"/>
                  </w:pPr>
                  <w: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97FFCA" w14:textId="77777777" w:rsidR="00D77DF8" w:rsidRDefault="00D77DF8" w:rsidP="00D77DF8">
                  <w:pPr>
                    <w:pStyle w:val="TAL"/>
                  </w:pPr>
                  <w:r>
                    <w:t>Full Buffer</w:t>
                  </w:r>
                </w:p>
              </w:tc>
            </w:tr>
            <w:tr w:rsidR="00D77DF8" w14:paraId="3195D386"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138F91EE" w14:textId="77777777" w:rsidR="00D77DF8" w:rsidRDefault="00D77DF8" w:rsidP="00D77DF8">
                  <w:pPr>
                    <w:pStyle w:val="TAL"/>
                  </w:pPr>
                  <w: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5DE05EC" w14:textId="77777777" w:rsidR="00D77DF8" w:rsidRDefault="00D77DF8" w:rsidP="00D77DF8">
                  <w:pPr>
                    <w:pStyle w:val="TAL"/>
                  </w:pPr>
                  <w:r>
                    <w:t>TM9 with fixed rank</w:t>
                  </w:r>
                </w:p>
              </w:tc>
            </w:tr>
            <w:tr w:rsidR="00D77DF8" w14:paraId="5AE96EE9"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BE09CA3" w14:textId="77777777" w:rsidR="00D77DF8" w:rsidRDefault="00D77DF8" w:rsidP="00D77DF8">
                  <w:pPr>
                    <w:pStyle w:val="TAL"/>
                  </w:pPr>
                  <w: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E5F4B4" w14:textId="77777777" w:rsidR="00D77DF8" w:rsidRDefault="00D77DF8" w:rsidP="00D77DF8">
                  <w:pPr>
                    <w:pStyle w:val="TAL"/>
                  </w:pPr>
                  <w:r>
                    <w:t>6 RBs with 1, 2, 4, and 8 repetitions</w:t>
                  </w:r>
                </w:p>
              </w:tc>
            </w:tr>
            <w:tr w:rsidR="00D77DF8" w14:paraId="1D6CE13F" w14:textId="77777777" w:rsidTr="00D77DF8">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4850D276" w14:textId="77777777" w:rsidR="00D77DF8" w:rsidRDefault="00D77DF8" w:rsidP="00D77DF8">
                  <w:pPr>
                    <w:pStyle w:val="TAL"/>
                  </w:pPr>
                  <w: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FA6CF55" w14:textId="77777777" w:rsidR="00D77DF8" w:rsidRDefault="00D77DF8" w:rsidP="00D77DF8">
                  <w:pPr>
                    <w:pStyle w:val="TAL"/>
                  </w:pPr>
                  <w:r>
                    <w:rPr>
                      <w:lang w:val="it-IT"/>
                    </w:rPr>
                    <w:t xml:space="preserve">Non-Ideal DMRS channel estimation and interference estimation </w:t>
                  </w:r>
                </w:p>
              </w:tc>
            </w:tr>
            <w:tr w:rsidR="00D77DF8" w14:paraId="55274BF0" w14:textId="77777777" w:rsidTr="00D77DF8">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750A00E8" w14:textId="77777777" w:rsidR="00D77DF8" w:rsidRDefault="00D77DF8" w:rsidP="00D77DF8">
                  <w:pPr>
                    <w:rPr>
                      <w:rFonts w:ascii="Arial" w:hAnsi="Arial" w:cs="Arial"/>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BD1A803" w14:textId="77777777" w:rsidR="00D77DF8" w:rsidRDefault="00D77DF8" w:rsidP="00D77DF8">
                  <w:pPr>
                    <w:pStyle w:val="TAL"/>
                  </w:pPr>
                  <w:r>
                    <w:t>LMMSE-IRC receiver</w:t>
                  </w:r>
                </w:p>
              </w:tc>
            </w:tr>
            <w:tr w:rsidR="00D77DF8" w14:paraId="56B03BEA" w14:textId="77777777" w:rsidTr="00D77DF8">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F990FA6" w14:textId="77777777" w:rsidR="00D77DF8" w:rsidRDefault="00D77DF8" w:rsidP="00D77DF8">
                  <w:pPr>
                    <w:pStyle w:val="TAL"/>
                  </w:pPr>
                  <w:r>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DFA4EDD" w14:textId="77777777" w:rsidR="00D77DF8" w:rsidRDefault="00D77DF8" w:rsidP="00D77DF8">
                  <w:pPr>
                    <w:pStyle w:val="TAL"/>
                  </w:pPr>
                  <w:r>
                    <w:t>2 symbols for DL CCHs, 2 CRS ports and 2 DM-RS ports</w:t>
                  </w:r>
                </w:p>
              </w:tc>
            </w:tr>
            <w:tr w:rsidR="00D77DF8" w14:paraId="5F068828"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41F772B9" w14:textId="77777777" w:rsidR="00D77DF8" w:rsidRDefault="00D77DF8" w:rsidP="00D77DF8">
                  <w:pPr>
                    <w:pStyle w:val="TAL"/>
                  </w:pPr>
                  <w: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CF90091" w14:textId="77777777" w:rsidR="00D77DF8" w:rsidRDefault="00D77DF8" w:rsidP="00D77DF8">
                  <w:pPr>
                    <w:pStyle w:val="TAL"/>
                    <w:rPr>
                      <w:lang w:eastAsia="ko-KR"/>
                    </w:rPr>
                  </w:pPr>
                  <w:r>
                    <w:rPr>
                      <w:lang w:eastAsia="ko-KR"/>
                    </w:rPr>
                    <w:t>No rank adaptation (Rank 1 and Rank 2)</w:t>
                  </w:r>
                </w:p>
                <w:p w14:paraId="0797A0F5" w14:textId="77777777" w:rsidR="00D77DF8" w:rsidRDefault="00D77DF8" w:rsidP="00D77DF8">
                  <w:pPr>
                    <w:pStyle w:val="TAL"/>
                    <w:rPr>
                      <w:lang w:eastAsia="ko-KR"/>
                    </w:rPr>
                  </w:pPr>
                  <w:r>
                    <w:rPr>
                      <w:lang w:eastAsia="ko-KR"/>
                    </w:rPr>
                    <w:t>Fixed CQI and feedback wideband PMI with periodicity of 10msec (Channel reciprocity property in TDD system can be used for DL PMI adjustment)</w:t>
                  </w:r>
                </w:p>
              </w:tc>
            </w:tr>
            <w:tr w:rsidR="00D77DF8" w14:paraId="4EA151B7" w14:textId="77777777" w:rsidTr="00D77DF8">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18A2465E" w14:textId="77777777" w:rsidR="00D77DF8" w:rsidRDefault="00D77DF8" w:rsidP="00D77DF8">
                  <w:pPr>
                    <w:pStyle w:val="TAL"/>
                    <w:rPr>
                      <w:lang w:eastAsia="en-GB"/>
                    </w:rPr>
                  </w:pPr>
                  <w: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247243D7" w14:textId="77777777" w:rsidR="00D77DF8" w:rsidRDefault="00D77DF8" w:rsidP="00D77DF8">
                  <w:pPr>
                    <w:pStyle w:val="TAL"/>
                  </w:pPr>
                  <w:r>
                    <w:t>Target 10% BLER after 1</w:t>
                  </w:r>
                  <w:r>
                    <w:rPr>
                      <w:vertAlign w:val="superscript"/>
                    </w:rPr>
                    <w:t>st</w:t>
                  </w:r>
                  <w:r>
                    <w:t xml:space="preserve"> transmission</w:t>
                  </w:r>
                </w:p>
              </w:tc>
            </w:tr>
            <w:tr w:rsidR="00D77DF8" w14:paraId="525E3978" w14:textId="77777777" w:rsidTr="00D77DF8">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1DC8C5AE" w14:textId="77777777" w:rsidR="00D77DF8" w:rsidRDefault="00D77DF8" w:rsidP="00D77DF8">
                  <w:pPr>
                    <w:pStyle w:val="TAL"/>
                  </w:pPr>
                  <w: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3A5462C7" w14:textId="77777777" w:rsidR="00D77DF8" w:rsidRDefault="00D77DF8" w:rsidP="00D77DF8">
                  <w:pPr>
                    <w:pStyle w:val="TAL"/>
                  </w:pPr>
                  <w:r>
                    <w:t>Normal CP</w:t>
                  </w:r>
                </w:p>
              </w:tc>
            </w:tr>
          </w:tbl>
          <w:p w14:paraId="296B48E5" w14:textId="4C82D00C" w:rsidR="00D77DF8" w:rsidRDefault="00D77DF8" w:rsidP="00CE0424">
            <w:pPr>
              <w:pStyle w:val="BodyText"/>
            </w:pPr>
          </w:p>
        </w:tc>
      </w:tr>
    </w:tbl>
    <w:p w14:paraId="231F8CC5" w14:textId="77777777" w:rsidR="00D77DF8" w:rsidRDefault="00D77DF8" w:rsidP="00CE0424">
      <w:pPr>
        <w:pStyle w:val="BodyText"/>
      </w:pPr>
    </w:p>
    <w:p w14:paraId="7C48702B" w14:textId="6D874B72" w:rsidR="00477768" w:rsidRPr="00CE0424" w:rsidRDefault="00770C89" w:rsidP="00CE0424">
      <w:pPr>
        <w:pStyle w:val="BodyText"/>
      </w:pPr>
      <w:r>
        <w:t xml:space="preserve">This contribution is intended to </w:t>
      </w:r>
      <w:r w:rsidR="0061007D">
        <w:t>a</w:t>
      </w:r>
      <w:r w:rsidR="0061007D" w:rsidRPr="0061007D">
        <w:t>ssess</w:t>
      </w:r>
      <w:r w:rsidR="009118DB">
        <w:t xml:space="preserve"> </w:t>
      </w:r>
      <w:r w:rsidR="0061007D" w:rsidRPr="0061007D">
        <w:t xml:space="preserve">the </w:t>
      </w:r>
      <w:r w:rsidR="009118DB">
        <w:t xml:space="preserve">applicability and potential gains </w:t>
      </w:r>
      <w:r w:rsidR="009F5331">
        <w:t xml:space="preserve">of supporting </w:t>
      </w:r>
      <w:r w:rsidR="00834CE8">
        <w:t xml:space="preserve">“Dual layer DL reception” and “Feedback based on CSI-RS” </w:t>
      </w:r>
      <w:r w:rsidR="009F5331">
        <w:rPr>
          <w:rFonts w:cs="Arial"/>
        </w:rPr>
        <w:t>for non-BL UEs using enhanced coverage functionality.</w:t>
      </w:r>
    </w:p>
    <w:p w14:paraId="6EF41082" w14:textId="2E3C7DFB" w:rsidR="00834CE8" w:rsidRDefault="00230D18" w:rsidP="00834CE8">
      <w:pPr>
        <w:pStyle w:val="Heading1"/>
      </w:pPr>
      <w:bookmarkStart w:id="1" w:name="_Ref178064866"/>
      <w:r>
        <w:t>2</w:t>
      </w:r>
      <w:r>
        <w:tab/>
      </w:r>
      <w:bookmarkEnd w:id="1"/>
      <w:r w:rsidR="00834CE8">
        <w:t>L1 related en</w:t>
      </w:r>
      <w:r w:rsidR="007114A2">
        <w:t>hancements</w:t>
      </w:r>
      <w:r w:rsidR="00834CE8" w:rsidRPr="00834CE8">
        <w:t xml:space="preserve"> for non-BL UEs using enhanced coverage functionality</w:t>
      </w:r>
    </w:p>
    <w:p w14:paraId="236B3106" w14:textId="7EE6F828" w:rsidR="00E168B4" w:rsidRPr="00834CE8" w:rsidRDefault="00EB630C" w:rsidP="00E168B4">
      <w:pPr>
        <w:pStyle w:val="Heading2"/>
      </w:pPr>
      <w:r>
        <w:t>2.1</w:t>
      </w:r>
      <w:r>
        <w:tab/>
        <w:t>CE mode versus Non-CE mode</w:t>
      </w:r>
    </w:p>
    <w:p w14:paraId="62446A53" w14:textId="17370988" w:rsidR="00E168B4" w:rsidRDefault="00DC11C9" w:rsidP="00E168B4">
      <w:pPr>
        <w:pStyle w:val="BodyText"/>
      </w:pPr>
      <w:r>
        <w:t xml:space="preserve">The technical specification </w:t>
      </w:r>
      <w:r w:rsidR="00705F15" w:rsidRPr="00705F15">
        <w:t xml:space="preserve">36.300 </w:t>
      </w:r>
      <w:r w:rsidR="00705F15">
        <w:t xml:space="preserve">in </w:t>
      </w:r>
      <w:r w:rsidR="00705F15" w:rsidRPr="00705F15">
        <w:t>clause 23.7b</w:t>
      </w:r>
      <w:r w:rsidR="00705F15">
        <w:t xml:space="preserve"> states the </w:t>
      </w:r>
      <w:r w:rsidR="00705F15" w:rsidRPr="00124406">
        <w:t>following [</w:t>
      </w:r>
      <w:r w:rsidR="00124406" w:rsidRPr="00124406">
        <w:t>4</w:t>
      </w:r>
      <w:r w:rsidR="00705F15" w:rsidRPr="00124406">
        <w:t>]:</w:t>
      </w:r>
    </w:p>
    <w:p w14:paraId="4E72D75F" w14:textId="3543CB25" w:rsidR="00705F15" w:rsidRDefault="00705F15" w:rsidP="00BE6D0C">
      <w:pPr>
        <w:pStyle w:val="BodyText"/>
        <w:ind w:left="567"/>
      </w:pPr>
      <w:r w:rsidRPr="005835BE">
        <w:rPr>
          <w:i/>
        </w:rPr>
        <w:t>A UE in enhanced coverage is a UE that requires the use of enhanced coverage functionality to access the cell. In this release of the specification two enhanced coverage modes (mode A, mode B) are supported.</w:t>
      </w:r>
    </w:p>
    <w:p w14:paraId="21FC6E92" w14:textId="374B06CC" w:rsidR="00705F15" w:rsidRDefault="00B460DB" w:rsidP="00950EC8">
      <w:pPr>
        <w:pStyle w:val="BodyText"/>
      </w:pPr>
      <w:r>
        <w:t xml:space="preserve">As stated in the above definition, there is a tight relation between the UE’s location within the cell and the usage of the enhanced coverage functionality. </w:t>
      </w:r>
    </w:p>
    <w:p w14:paraId="5635EEF3" w14:textId="0518085B" w:rsidR="00C83CB7" w:rsidRDefault="000E1819" w:rsidP="00C83CB7">
      <w:pPr>
        <w:pStyle w:val="BodyText"/>
      </w:pPr>
      <w:r>
        <w:t xml:space="preserve">In Rel-16, the work item objective </w:t>
      </w:r>
      <w:r w:rsidR="00736956">
        <w:t xml:space="preserve">on </w:t>
      </w:r>
      <w:r w:rsidR="00736956" w:rsidRPr="00736956">
        <w:t xml:space="preserve">“Additional MTC enhancements for LTE” </w:t>
      </w:r>
      <w:r w:rsidR="00636BFD" w:rsidRPr="00636BFD">
        <w:t xml:space="preserve">states “Specify CE mode A and B improvements for non-BL UE”, which </w:t>
      </w:r>
      <w:r w:rsidR="00E220BA">
        <w:t xml:space="preserve">as per the definition in TS 36.300 </w:t>
      </w:r>
      <w:r w:rsidR="00636BFD" w:rsidRPr="00636BFD">
        <w:t>correspond</w:t>
      </w:r>
      <w:r w:rsidR="00E220BA">
        <w:t>s to a</w:t>
      </w:r>
      <w:r w:rsidR="00636BFD" w:rsidRPr="00636BFD">
        <w:t xml:space="preserve"> region where the UE is required to </w:t>
      </w:r>
      <w:r w:rsidR="00E220BA">
        <w:t xml:space="preserve">make </w:t>
      </w:r>
      <w:r w:rsidR="00636BFD" w:rsidRPr="00636BFD">
        <w:t>use the en</w:t>
      </w:r>
      <w:r w:rsidR="00E220BA">
        <w:t xml:space="preserve">hanced coverage functionality. </w:t>
      </w:r>
      <w:r w:rsidR="00C83CB7">
        <w:t>Figure 1 depicts</w:t>
      </w:r>
      <w:r w:rsidR="00736956">
        <w:t xml:space="preserve"> a </w:t>
      </w:r>
      <w:r w:rsidR="002519FD">
        <w:t xml:space="preserve">normal coverage region, and </w:t>
      </w:r>
      <w:r w:rsidR="000A01C9">
        <w:t>out</w:t>
      </w:r>
      <w:r w:rsidR="005835BE">
        <w:t xml:space="preserve">er regions where the UE </w:t>
      </w:r>
      <w:r w:rsidR="00736956">
        <w:t>require</w:t>
      </w:r>
      <w:r w:rsidR="005835BE">
        <w:t>s</w:t>
      </w:r>
      <w:r w:rsidR="00736956">
        <w:t xml:space="preserve"> to make use of the enhanced coverage functionality.</w:t>
      </w:r>
    </w:p>
    <w:p w14:paraId="6E1CD098" w14:textId="370D0331" w:rsidR="00C83CB7" w:rsidRDefault="002519FD" w:rsidP="00C83CB7">
      <w:pPr>
        <w:pStyle w:val="BodyText"/>
        <w:jc w:val="center"/>
      </w:pPr>
      <w:r>
        <w:rPr>
          <w:noProof/>
        </w:rPr>
        <w:lastRenderedPageBreak/>
        <w:drawing>
          <wp:inline distT="0" distB="0" distL="0" distR="0" wp14:anchorId="3195D332" wp14:editId="71E3464E">
            <wp:extent cx="6118860" cy="281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2819400"/>
                    </a:xfrm>
                    <a:prstGeom prst="rect">
                      <a:avLst/>
                    </a:prstGeom>
                    <a:noFill/>
                    <a:ln>
                      <a:noFill/>
                    </a:ln>
                  </pic:spPr>
                </pic:pic>
              </a:graphicData>
            </a:graphic>
          </wp:inline>
        </w:drawing>
      </w:r>
    </w:p>
    <w:p w14:paraId="627B3BC5" w14:textId="1631BC99" w:rsidR="00C83CB7" w:rsidRPr="00874CF5" w:rsidRDefault="00C83CB7" w:rsidP="00C83CB7">
      <w:pPr>
        <w:pStyle w:val="Figure"/>
      </w:pPr>
      <w:r>
        <w:t xml:space="preserve">Figure 1: </w:t>
      </w:r>
      <w:r w:rsidR="005835BE">
        <w:t xml:space="preserve">Normal coverage region, and </w:t>
      </w:r>
      <w:r w:rsidR="000A01C9">
        <w:t>out</w:t>
      </w:r>
      <w:r w:rsidR="005835BE">
        <w:t>er regions where the UE requires to make use of enhanced coverage functionality</w:t>
      </w:r>
      <w:r>
        <w:t xml:space="preserve">. </w:t>
      </w:r>
    </w:p>
    <w:p w14:paraId="08C8DC52" w14:textId="3A60E773" w:rsidR="00C83CB7" w:rsidRDefault="00C83CB7" w:rsidP="00315663">
      <w:pPr>
        <w:pStyle w:val="BodyText"/>
      </w:pPr>
      <w:r>
        <w:t>The</w:t>
      </w:r>
      <w:r w:rsidR="00511525">
        <w:t xml:space="preserve"> work item objective has listed five candidate techniques (</w:t>
      </w:r>
      <w:r w:rsidR="00315663">
        <w:t>see section 1</w:t>
      </w:r>
      <w:r w:rsidR="00511525">
        <w:t>)</w:t>
      </w:r>
      <w:r w:rsidR="00315663">
        <w:t>,</w:t>
      </w:r>
      <w:r w:rsidR="00511525">
        <w:t xml:space="preserve"> among which few or even only one </w:t>
      </w:r>
      <w:r w:rsidR="00A57839">
        <w:t xml:space="preserve">of them </w:t>
      </w:r>
      <w:r w:rsidR="00511525">
        <w:t xml:space="preserve">may be feasible to </w:t>
      </w:r>
      <w:r w:rsidR="00AB0597">
        <w:t>operate</w:t>
      </w:r>
      <w:r w:rsidR="00A57839">
        <w:t xml:space="preserve"> and provide gains in a region where a non-BL is required to make use of the enhanced coverage functionality.</w:t>
      </w:r>
      <w:r w:rsidR="00AB0597" w:rsidRPr="00AB0597">
        <w:t xml:space="preserve"> </w:t>
      </w:r>
      <w:r w:rsidR="00AB0597">
        <w:t xml:space="preserve">Below we provide an analysis on </w:t>
      </w:r>
      <w:r w:rsidR="00AB0597" w:rsidRPr="00AB0597">
        <w:t xml:space="preserve">the </w:t>
      </w:r>
      <w:r w:rsidR="00AB0597">
        <w:t xml:space="preserve">feasibility and </w:t>
      </w:r>
      <w:r w:rsidR="00AB0597" w:rsidRPr="00AB0597">
        <w:t>potential benefits of supporting</w:t>
      </w:r>
      <w:r w:rsidR="003861E1">
        <w:t xml:space="preserve"> </w:t>
      </w:r>
      <w:r w:rsidR="00AB0597" w:rsidRPr="00AB0597">
        <w:t xml:space="preserve">“Dual layer DL reception” and “Feedback based on CSI-RS” for non-BL UEs </w:t>
      </w:r>
      <w:r w:rsidR="00315663">
        <w:t>in enhanced coverage</w:t>
      </w:r>
      <w:r w:rsidR="00C312B7">
        <w:t xml:space="preserve"> mode A (</w:t>
      </w:r>
      <w:r w:rsidR="003861E1">
        <w:t xml:space="preserve">recall CE mode B has already been determined to be unfeasible </w:t>
      </w:r>
      <w:r w:rsidR="00960891">
        <w:t xml:space="preserve">for the RAN1 related techniques </w:t>
      </w:r>
      <w:r w:rsidR="003861E1">
        <w:t>[</w:t>
      </w:r>
      <w:r w:rsidR="00124406">
        <w:t>3</w:t>
      </w:r>
      <w:r w:rsidR="003861E1">
        <w:t>]</w:t>
      </w:r>
      <w:r w:rsidR="00C312B7">
        <w:t>)</w:t>
      </w:r>
      <w:r w:rsidR="00AB0597" w:rsidRPr="00AB0597">
        <w:t>.</w:t>
      </w:r>
      <w:r w:rsidR="00315663" w:rsidRPr="00315663">
        <w:t xml:space="preserve"> </w:t>
      </w:r>
    </w:p>
    <w:p w14:paraId="5755839B" w14:textId="67867F39" w:rsidR="00714EA4" w:rsidRDefault="00E168B4" w:rsidP="00714EA4">
      <w:pPr>
        <w:pStyle w:val="Heading2"/>
        <w:ind w:left="0" w:firstLine="0"/>
      </w:pPr>
      <w:r>
        <w:t>2.2</w:t>
      </w:r>
      <w:r>
        <w:tab/>
      </w:r>
      <w:r w:rsidR="00874CF5">
        <w:tab/>
        <w:t>Dual-</w:t>
      </w:r>
      <w:r w:rsidR="00834CE8">
        <w:t>layer DL reception</w:t>
      </w:r>
    </w:p>
    <w:p w14:paraId="06A6C0BB" w14:textId="7FF490F9" w:rsidR="00714EA4" w:rsidRDefault="00714EA4" w:rsidP="00714EA4">
      <w:pPr>
        <w:pStyle w:val="Heading3"/>
      </w:pPr>
      <w:r>
        <w:t>2.2.1</w:t>
      </w:r>
      <w:r>
        <w:tab/>
        <w:t>Analysis on Dual-layer at low and high SNRs</w:t>
      </w:r>
    </w:p>
    <w:p w14:paraId="5E5FC2D9" w14:textId="369B4188" w:rsidR="00246039" w:rsidRPr="00714EA4" w:rsidRDefault="00834CE8" w:rsidP="0096182A">
      <w:pPr>
        <w:pStyle w:val="BodyText"/>
        <w:rPr>
          <w:rFonts w:cs="Arial"/>
        </w:rPr>
      </w:pPr>
      <w:r>
        <w:t xml:space="preserve">In a dual-layer transmission scheme, two data streams are transmitted over Nt ≥ 2 antennas, while the receiver detects the transmitted streams using Nr ≥ 2 receive antennas. </w:t>
      </w:r>
      <w:r w:rsidR="00246039">
        <w:t xml:space="preserve">In RAN1 #94bis </w:t>
      </w:r>
      <w:r w:rsidR="00F506AD">
        <w:t>we provide</w:t>
      </w:r>
      <w:r w:rsidR="00246039">
        <w:t>d</w:t>
      </w:r>
      <w:r w:rsidR="00F506AD">
        <w:t xml:space="preserve"> an analysis of “Dual layer DL reception” for both high and low SNR, </w:t>
      </w:r>
      <w:r w:rsidR="00714EA4">
        <w:t>from which the following</w:t>
      </w:r>
      <w:r w:rsidR="00246039">
        <w:t xml:space="preserve"> was </w:t>
      </w:r>
      <w:r w:rsidR="00714EA4">
        <w:t xml:space="preserve">proven (see full analysis in </w:t>
      </w:r>
      <w:r w:rsidR="00124406">
        <w:t>[5</w:t>
      </w:r>
      <w:r w:rsidR="00714EA4">
        <w:t>])</w:t>
      </w:r>
      <w:r w:rsidR="00246039">
        <w:t>:</w:t>
      </w:r>
    </w:p>
    <w:tbl>
      <w:tblPr>
        <w:tblStyle w:val="TableGrid"/>
        <w:tblW w:w="9634" w:type="dxa"/>
        <w:jc w:val="center"/>
        <w:tblLook w:val="04A0" w:firstRow="1" w:lastRow="0" w:firstColumn="1" w:lastColumn="0" w:noHBand="0" w:noVBand="1"/>
      </w:tblPr>
      <w:tblGrid>
        <w:gridCol w:w="4957"/>
        <w:gridCol w:w="4677"/>
      </w:tblGrid>
      <w:tr w:rsidR="001F6247" w14:paraId="546BDD10" w14:textId="77777777" w:rsidTr="00D02C71">
        <w:trPr>
          <w:jc w:val="center"/>
        </w:trPr>
        <w:tc>
          <w:tcPr>
            <w:tcW w:w="4957" w:type="dxa"/>
            <w:shd w:val="clear" w:color="auto" w:fill="D9D9D9" w:themeFill="background1" w:themeFillShade="D9"/>
          </w:tcPr>
          <w:p w14:paraId="4C7DD7E7" w14:textId="003994C7" w:rsidR="001F6247" w:rsidRDefault="00246039" w:rsidP="001F6247">
            <w:pPr>
              <w:pStyle w:val="BodyText"/>
              <w:ind w:left="720"/>
              <w:jc w:val="center"/>
            </w:pPr>
            <w:r>
              <w:t>Dual-layer at high SNR</w:t>
            </w:r>
          </w:p>
        </w:tc>
        <w:tc>
          <w:tcPr>
            <w:tcW w:w="4677" w:type="dxa"/>
            <w:shd w:val="clear" w:color="auto" w:fill="D9D9D9" w:themeFill="background1" w:themeFillShade="D9"/>
          </w:tcPr>
          <w:p w14:paraId="12D0A4AB" w14:textId="3C57DDFF" w:rsidR="001F6247" w:rsidRDefault="00246039" w:rsidP="001F6247">
            <w:pPr>
              <w:pStyle w:val="BodyText"/>
              <w:ind w:left="720"/>
              <w:jc w:val="center"/>
            </w:pPr>
            <w:r>
              <w:t>Dual-layer at low SNR</w:t>
            </w:r>
          </w:p>
        </w:tc>
      </w:tr>
      <w:tr w:rsidR="001F6247" w14:paraId="3898621C" w14:textId="77777777" w:rsidTr="00D02C71">
        <w:trPr>
          <w:jc w:val="center"/>
        </w:trPr>
        <w:tc>
          <w:tcPr>
            <w:tcW w:w="4957" w:type="dxa"/>
          </w:tcPr>
          <w:p w14:paraId="078C9A8E" w14:textId="77777777" w:rsidR="00D02C71" w:rsidRDefault="00D02C71" w:rsidP="00246039">
            <w:pPr>
              <w:jc w:val="both"/>
              <w:rPr>
                <w:rFonts w:ascii="Arial" w:hAnsi="Arial" w:cs="Arial"/>
              </w:rPr>
            </w:pPr>
          </w:p>
          <w:p w14:paraId="55DEE02B" w14:textId="17B48BAC" w:rsidR="00246039" w:rsidRPr="000F0A55" w:rsidRDefault="00246039" w:rsidP="00246039">
            <w:pPr>
              <w:jc w:val="both"/>
              <w:rPr>
                <w:rFonts w:ascii="Arial" w:hAnsi="Arial" w:cs="Arial"/>
                <w:sz w:val="20"/>
              </w:rPr>
            </w:pPr>
            <w:r w:rsidRPr="000F0A55">
              <w:rPr>
                <w:rFonts w:ascii="Arial" w:hAnsi="Arial" w:cs="Arial"/>
                <w:sz w:val="20"/>
              </w:rPr>
              <w:t xml:space="preserve">At a high SNR region, </w:t>
            </w:r>
            <w:r w:rsidR="00D02C71" w:rsidRPr="000F0A55">
              <w:rPr>
                <w:rFonts w:ascii="Arial" w:hAnsi="Arial" w:cs="Arial"/>
                <w:sz w:val="20"/>
              </w:rPr>
              <w:t>if we distribute the power equally to all sub-channels with non-zero eigenvalues</w:t>
            </w:r>
            <w:r w:rsidRPr="000F0A55">
              <w:rPr>
                <w:rFonts w:ascii="Arial" w:hAnsi="Arial" w:cs="Arial"/>
                <w:sz w:val="20"/>
              </w:rPr>
              <w:t>, the capacity can be written as follows:</w:t>
            </w:r>
          </w:p>
          <w:p w14:paraId="15EE8250" w14:textId="24F96758" w:rsidR="00246039" w:rsidRPr="00246039" w:rsidRDefault="00246039" w:rsidP="00246039">
            <w:pPr>
              <w:pStyle w:val="BodyText"/>
            </w:pPr>
            <m:oMathPara>
              <m:oMath>
                <m:r>
                  <w:rPr>
                    <w:rFonts w:ascii="Cambria Math" w:hAnsi="Cambria Math"/>
                  </w:rPr>
                  <m:t>C≈W</m:t>
                </m:r>
                <m:sSub>
                  <m:sSubPr>
                    <m:ctrlPr>
                      <w:rPr>
                        <w:rFonts w:ascii="Cambria Math" w:hAnsi="Cambria Math"/>
                        <w:i/>
                      </w:rPr>
                    </m:ctrlPr>
                  </m:sSubPr>
                  <m:e>
                    <m:r>
                      <w:rPr>
                        <w:rFonts w:ascii="Cambria Math" w:hAnsi="Cambria Math"/>
                      </w:rPr>
                      <m:t>R</m:t>
                    </m:r>
                  </m:e>
                  <m:sub>
                    <m:r>
                      <w:rPr>
                        <w:rFonts w:ascii="Cambria Math" w:hAnsi="Cambria Math"/>
                      </w:rPr>
                      <m:t>H</m:t>
                    </m:r>
                  </m:sub>
                </m:sSub>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r>
                  <w:rPr>
                    <w:rFonts w:ascii="Cambria Math" w:hAnsi="Cambria Math"/>
                  </w:rPr>
                  <m:t>+W</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H</m:t>
                                </m:r>
                              </m:sub>
                            </m:sSub>
                          </m:den>
                        </m:f>
                      </m:e>
                    </m:d>
                  </m:e>
                </m:nary>
              </m:oMath>
            </m:oMathPara>
          </w:p>
          <w:p w14:paraId="6B57B141" w14:textId="77777777" w:rsidR="00246039" w:rsidRPr="00B91A5A" w:rsidRDefault="00246039" w:rsidP="00246039">
            <w:pPr>
              <w:pStyle w:val="BodyText"/>
            </w:pPr>
          </w:p>
          <w:p w14:paraId="490C89DA" w14:textId="20F16510" w:rsidR="001F6247" w:rsidRDefault="00D02C71" w:rsidP="00246039">
            <w:pPr>
              <w:pStyle w:val="BodyText"/>
            </w:pPr>
            <w:r w:rsidRPr="000F0A55">
              <w:rPr>
                <w:rFonts w:cs="Arial"/>
                <w:sz w:val="20"/>
              </w:rPr>
              <w:t>For large SNR, the capacity increases linearly with the rank of the MIMO channel matrix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H</m:t>
                  </m:r>
                </m:sub>
              </m:sSub>
            </m:oMath>
            <w:r w:rsidRPr="000F0A55">
              <w:rPr>
                <w:rFonts w:cs="Arial"/>
                <w:sz w:val="20"/>
              </w:rPr>
              <w:t>). That is, the rank provides an intuitive insight of the channel capacity.</w:t>
            </w:r>
          </w:p>
        </w:tc>
        <w:tc>
          <w:tcPr>
            <w:tcW w:w="4677" w:type="dxa"/>
          </w:tcPr>
          <w:p w14:paraId="21B04E7F" w14:textId="77777777" w:rsidR="001F6247" w:rsidRDefault="001F6247" w:rsidP="001F6247">
            <w:pPr>
              <w:pStyle w:val="BodyText"/>
              <w:ind w:left="720"/>
            </w:pPr>
          </w:p>
          <w:p w14:paraId="633A8D9D" w14:textId="77777777" w:rsidR="00D02C71" w:rsidRPr="000F0A55" w:rsidRDefault="00D02C71" w:rsidP="00D02C71">
            <w:pPr>
              <w:pStyle w:val="BodyText"/>
              <w:rPr>
                <w:rFonts w:cs="Arial"/>
                <w:sz w:val="20"/>
              </w:rPr>
            </w:pPr>
            <w:r w:rsidRPr="000F0A55">
              <w:rPr>
                <w:rFonts w:cs="Arial"/>
                <w:sz w:val="20"/>
              </w:rPr>
              <w:t>At a low SNR region, if we distribute the power equally to all sub-channels with non-zero eigenvalues, the resulting capacity is as follows:</w:t>
            </w:r>
          </w:p>
          <w:p w14:paraId="2FFB974D" w14:textId="0EFE672D" w:rsidR="00D02C71" w:rsidRPr="00CA31A4" w:rsidRDefault="00D02C71" w:rsidP="00D02C71">
            <w:pPr>
              <w:pStyle w:val="BodyText"/>
            </w:pPr>
            <m:oMathPara>
              <m:oMath>
                <m:r>
                  <w:rPr>
                    <w:rFonts w:ascii="Cambria Math" w:hAnsi="Cambria Math"/>
                  </w:rPr>
                  <m:t>C≈W</m:t>
                </m:r>
                <m:f>
                  <m:fPr>
                    <m:ctrlPr>
                      <w:rPr>
                        <w:rFonts w:ascii="Cambria Math" w:hAnsi="Cambria Math"/>
                        <w:i/>
                      </w:rPr>
                    </m:ctrlPr>
                  </m:fPr>
                  <m:num>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R</m:t>
                        </m:r>
                      </m:e>
                      <m:sub>
                        <m:r>
                          <w:rPr>
                            <w:rFonts w:ascii="Cambria Math" w:hAnsi="Cambria Math"/>
                          </w:rPr>
                          <m:t>H</m:t>
                        </m:r>
                      </m:sub>
                    </m:sSub>
                  </m:sup>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H</m:t>
                            </m:r>
                          </m:sub>
                        </m:sSub>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e>
                </m:nary>
              </m:oMath>
            </m:oMathPara>
          </w:p>
          <w:p w14:paraId="3911B1B1" w14:textId="77777777" w:rsidR="00D02C71" w:rsidRDefault="00D02C71" w:rsidP="00D02C71">
            <w:pPr>
              <w:pStyle w:val="BodyText"/>
            </w:pPr>
          </w:p>
          <w:p w14:paraId="45304024" w14:textId="64577CA6" w:rsidR="00E37A90" w:rsidRPr="000F0A55" w:rsidRDefault="00D02C71" w:rsidP="00D02C71">
            <w:pPr>
              <w:pStyle w:val="BodyText"/>
              <w:rPr>
                <w:sz w:val="20"/>
              </w:rPr>
            </w:pPr>
            <w:r w:rsidRPr="000F0A55">
              <w:rPr>
                <w:sz w:val="20"/>
              </w:rPr>
              <w:t>However, at a low SNR region, to get the most out of the transmission it is better to supply power only to the strongest eigenmode, in which case the resulting capacity is as follows:</w:t>
            </w:r>
          </w:p>
          <w:p w14:paraId="6BEBD80F" w14:textId="0566877E" w:rsidR="00D02C71" w:rsidRDefault="00D02C71" w:rsidP="00D02C71">
            <w:pPr>
              <w:pStyle w:val="BodyText"/>
            </w:pPr>
            <m:oMathPara>
              <m:oMath>
                <m:r>
                  <w:rPr>
                    <w:rFonts w:ascii="Cambria Math" w:hAnsi="Cambria Math"/>
                  </w:rPr>
                  <m:t>C≈W</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max</m:t>
                        </m:r>
                      </m:sub>
                    </m:sSub>
                    <m:r>
                      <w:rPr>
                        <w:rFonts w:ascii="Cambria Math" w:hAnsi="Cambria Math"/>
                      </w:rPr>
                      <m:t>P</m:t>
                    </m:r>
                  </m:num>
                  <m:den>
                    <m:sSup>
                      <m:sSupPr>
                        <m:ctrlPr>
                          <w:rPr>
                            <w:rFonts w:ascii="Cambria Math" w:hAnsi="Cambria Math"/>
                            <w:i/>
                          </w:rPr>
                        </m:ctrlPr>
                      </m:sSupPr>
                      <m:e>
                        <m:r>
                          <w:rPr>
                            <w:rFonts w:ascii="Cambria Math" w:hAnsi="Cambria Math"/>
                          </w:rPr>
                          <m:t>σ</m:t>
                        </m:r>
                      </m:e>
                      <m:sup>
                        <m:r>
                          <w:rPr>
                            <w:rFonts w:ascii="Cambria Math" w:hAnsi="Cambria Math"/>
                          </w:rPr>
                          <m:t>2</m:t>
                        </m:r>
                      </m:sup>
                    </m:sSup>
                  </m:den>
                </m:f>
                <m:r>
                  <w:rPr>
                    <w:rFonts w:ascii="Cambria Math" w:hAnsi="Cambria Math"/>
                  </w:rPr>
                  <m:t>l</m:t>
                </m:r>
                <m:sSub>
                  <m:sSubPr>
                    <m:ctrlPr>
                      <w:rPr>
                        <w:rFonts w:ascii="Cambria Math" w:hAnsi="Cambria Math"/>
                        <w:i/>
                      </w:rPr>
                    </m:ctrlPr>
                  </m:sSubPr>
                  <m:e>
                    <m:r>
                      <w:rPr>
                        <w:rFonts w:ascii="Cambria Math" w:hAnsi="Cambria Math"/>
                      </w:rPr>
                      <m:t>og</m:t>
                    </m:r>
                  </m:e>
                  <m:sub>
                    <m:r>
                      <w:rPr>
                        <w:rFonts w:ascii="Cambria Math" w:hAnsi="Cambria Math"/>
                      </w:rPr>
                      <m:t>2</m:t>
                    </m:r>
                  </m:sub>
                </m:sSub>
                <m:d>
                  <m:dPr>
                    <m:ctrlPr>
                      <w:rPr>
                        <w:rFonts w:ascii="Cambria Math" w:hAnsi="Cambria Math"/>
                        <w:i/>
                      </w:rPr>
                    </m:ctrlPr>
                  </m:dPr>
                  <m:e>
                    <m:r>
                      <w:rPr>
                        <w:rFonts w:ascii="Cambria Math" w:hAnsi="Cambria Math"/>
                      </w:rPr>
                      <m:t>e</m:t>
                    </m:r>
                  </m:e>
                </m:d>
              </m:oMath>
            </m:oMathPara>
          </w:p>
          <w:p w14:paraId="01113E46" w14:textId="0F86609F" w:rsidR="00D02C71" w:rsidRDefault="00E37A90" w:rsidP="00D02C71">
            <w:pPr>
              <w:pStyle w:val="BodyText"/>
            </w:pPr>
            <w:r w:rsidRPr="000F0A55">
              <w:rPr>
                <w:sz w:val="20"/>
              </w:rPr>
              <w:t xml:space="preserve">Since the best is to supply the entire power to the finest sub-channel, then </w:t>
            </w:r>
            <w:r w:rsidR="004B5F77" w:rsidRPr="000F0A55">
              <w:rPr>
                <w:sz w:val="20"/>
              </w:rPr>
              <w:t>for low SNR regions</w:t>
            </w:r>
            <w:r w:rsidR="00FB053B" w:rsidRPr="000F0A55">
              <w:rPr>
                <w:sz w:val="20"/>
              </w:rPr>
              <w:t xml:space="preserve"> </w:t>
            </w:r>
            <w:r w:rsidRPr="000F0A55">
              <w:rPr>
                <w:sz w:val="20"/>
              </w:rPr>
              <w:t xml:space="preserve">what </w:t>
            </w:r>
            <w:r w:rsidRPr="000F0A55">
              <w:rPr>
                <w:sz w:val="20"/>
              </w:rPr>
              <w:lastRenderedPageBreak/>
              <w:t>we effectively have in the end is a single layer transmission.</w:t>
            </w:r>
          </w:p>
        </w:tc>
      </w:tr>
      <w:tr w:rsidR="00E37A90" w14:paraId="2EE0BD87" w14:textId="77777777" w:rsidTr="00631105">
        <w:trPr>
          <w:jc w:val="center"/>
        </w:trPr>
        <w:tc>
          <w:tcPr>
            <w:tcW w:w="9634" w:type="dxa"/>
            <w:gridSpan w:val="2"/>
          </w:tcPr>
          <w:p w14:paraId="3F0F6B2D" w14:textId="04D52077" w:rsidR="00714EA4" w:rsidRPr="000F0A55" w:rsidRDefault="00714EA4" w:rsidP="00714EA4">
            <w:pPr>
              <w:pStyle w:val="BodyText"/>
              <w:rPr>
                <w:sz w:val="20"/>
              </w:rPr>
            </w:pPr>
            <w:r w:rsidRPr="000F0A55">
              <w:rPr>
                <w:sz w:val="20"/>
              </w:rPr>
              <w:lastRenderedPageBreak/>
              <w:t xml:space="preserve">Based on the above analysis, </w:t>
            </w:r>
            <w:r w:rsidR="00A46102">
              <w:rPr>
                <w:sz w:val="20"/>
              </w:rPr>
              <w:t xml:space="preserve">considering a SNR range that is in the limit of the usage of the enhanced coverage functionality in CE Mode A, </w:t>
            </w:r>
            <w:r w:rsidRPr="000F0A55">
              <w:rPr>
                <w:sz w:val="20"/>
              </w:rPr>
              <w:t xml:space="preserve">Figure </w:t>
            </w:r>
            <w:r w:rsidR="00CE105A">
              <w:rPr>
                <w:sz w:val="20"/>
              </w:rPr>
              <w:t>2</w:t>
            </w:r>
            <w:r w:rsidR="00CE105A" w:rsidRPr="000F0A55">
              <w:rPr>
                <w:sz w:val="20"/>
              </w:rPr>
              <w:t xml:space="preserve"> </w:t>
            </w:r>
            <w:r w:rsidRPr="000F0A55">
              <w:rPr>
                <w:sz w:val="20"/>
              </w:rPr>
              <w:t>compares the channel capacity when Dual-layer is used at a low SNR range to transmit two data streams and a single data stream respectively.</w:t>
            </w:r>
          </w:p>
          <w:p w14:paraId="4D8F7A2F" w14:textId="4B749B9D" w:rsidR="00714EA4" w:rsidRDefault="00A46102" w:rsidP="00714EA4">
            <w:pPr>
              <w:pStyle w:val="BodyText"/>
              <w:jc w:val="center"/>
            </w:pPr>
            <w:r>
              <w:rPr>
                <w:rFonts w:eastAsia="Times New Roman"/>
                <w:sz w:val="20"/>
                <w:szCs w:val="20"/>
                <w:lang w:val="en-GB"/>
              </w:rPr>
              <w:object w:dxaOrig="7515" w:dyaOrig="6105" w14:anchorId="5C628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305.25pt" o:ole="">
                  <v:imagedata r:id="rId9" o:title=""/>
                </v:shape>
                <o:OLEObject Type="Embed" ProgID="PBrush" ShapeID="_x0000_i1025" DrawAspect="Content" ObjectID="_1602682303" r:id="rId10"/>
              </w:object>
            </w:r>
            <w:commentRangeStart w:id="2"/>
            <w:commentRangeStart w:id="3"/>
            <w:commentRangeEnd w:id="2"/>
            <w:commentRangeEnd w:id="3"/>
          </w:p>
          <w:p w14:paraId="5DE17F62" w14:textId="7EA818FA" w:rsidR="00E37A90" w:rsidRDefault="00714EA4" w:rsidP="00714EA4">
            <w:pPr>
              <w:pStyle w:val="BodyText"/>
              <w:ind w:left="720"/>
            </w:pPr>
            <w:r w:rsidRPr="000F0A55">
              <w:rPr>
                <w:sz w:val="16"/>
              </w:rPr>
              <w:t xml:space="preserve">Figure </w:t>
            </w:r>
            <w:r w:rsidR="00CE105A">
              <w:rPr>
                <w:sz w:val="16"/>
              </w:rPr>
              <w:t>2</w:t>
            </w:r>
            <w:r w:rsidRPr="000F0A55">
              <w:rPr>
                <w:sz w:val="16"/>
              </w:rPr>
              <w:t xml:space="preserve">: </w:t>
            </w:r>
            <w:bookmarkStart w:id="4" w:name="_GoBack"/>
            <w:bookmarkEnd w:id="4"/>
            <w:r w:rsidRPr="000F0A55">
              <w:rPr>
                <w:sz w:val="16"/>
              </w:rPr>
              <w:t xml:space="preserve">Dual-layer at a low SNR range, using </w:t>
            </w:r>
            <m:oMath>
              <m:rad>
                <m:radPr>
                  <m:degHide m:val="1"/>
                  <m:ctrlPr>
                    <w:rPr>
                      <w:rFonts w:ascii="Cambria Math" w:hAnsi="Cambria Math"/>
                      <w:i/>
                      <w:sz w:val="16"/>
                    </w:rPr>
                  </m:ctrlPr>
                </m:radPr>
                <m:deg/>
                <m:e>
                  <m:sSub>
                    <m:sSubPr>
                      <m:ctrlPr>
                        <w:rPr>
                          <w:rFonts w:ascii="Cambria Math" w:hAnsi="Cambria Math"/>
                          <w:i/>
                          <w:sz w:val="16"/>
                        </w:rPr>
                      </m:ctrlPr>
                    </m:sSubPr>
                    <m:e>
                      <m:r>
                        <w:rPr>
                          <w:rFonts w:ascii="Cambria Math" w:hAnsi="Cambria Math"/>
                          <w:sz w:val="16"/>
                        </w:rPr>
                        <m:t>λ</m:t>
                      </m:r>
                    </m:e>
                    <m:sub>
                      <m:r>
                        <w:rPr>
                          <w:rFonts w:ascii="Cambria Math" w:hAnsi="Cambria Math"/>
                          <w:sz w:val="16"/>
                        </w:rPr>
                        <m:t>1</m:t>
                      </m:r>
                    </m:sub>
                  </m:sSub>
                </m:e>
              </m:rad>
              <m:r>
                <w:rPr>
                  <w:rFonts w:ascii="Cambria Math" w:hAnsi="Cambria Math"/>
                  <w:sz w:val="16"/>
                </w:rPr>
                <m:t>=</m:t>
              </m:r>
            </m:oMath>
            <w:r w:rsidRPr="000F0A55">
              <w:rPr>
                <w:sz w:val="16"/>
              </w:rPr>
              <w:t xml:space="preserve">9.1547 and </w:t>
            </w:r>
            <m:oMath>
              <m:rad>
                <m:radPr>
                  <m:degHide m:val="1"/>
                  <m:ctrlPr>
                    <w:rPr>
                      <w:rFonts w:ascii="Cambria Math" w:hAnsi="Cambria Math"/>
                      <w:i/>
                      <w:sz w:val="16"/>
                    </w:rPr>
                  </m:ctrlPr>
                </m:radPr>
                <m:deg/>
                <m:e>
                  <m:sSub>
                    <m:sSubPr>
                      <m:ctrlPr>
                        <w:rPr>
                          <w:rFonts w:ascii="Cambria Math" w:hAnsi="Cambria Math"/>
                          <w:i/>
                          <w:sz w:val="16"/>
                        </w:rPr>
                      </m:ctrlPr>
                    </m:sSubPr>
                    <m:e>
                      <m:r>
                        <w:rPr>
                          <w:rFonts w:ascii="Cambria Math" w:hAnsi="Cambria Math"/>
                          <w:sz w:val="16"/>
                        </w:rPr>
                        <m:t>λ</m:t>
                      </m:r>
                    </m:e>
                    <m:sub>
                      <m:r>
                        <w:rPr>
                          <w:rFonts w:ascii="Cambria Math" w:hAnsi="Cambria Math"/>
                          <w:sz w:val="16"/>
                        </w:rPr>
                        <m:t>2</m:t>
                      </m:r>
                    </m:sub>
                  </m:sSub>
                </m:e>
              </m:rad>
              <m:r>
                <w:rPr>
                  <w:rFonts w:ascii="Cambria Math" w:hAnsi="Cambria Math"/>
                  <w:sz w:val="16"/>
                </w:rPr>
                <m:t>=0.4369</m:t>
              </m:r>
            </m:oMath>
            <w:r w:rsidRPr="000F0A55">
              <w:rPr>
                <w:sz w:val="16"/>
              </w:rPr>
              <w:t xml:space="preserve"> as singular values of the channel.</w:t>
            </w:r>
          </w:p>
        </w:tc>
      </w:tr>
    </w:tbl>
    <w:p w14:paraId="4D8A4D77" w14:textId="77777777" w:rsidR="000F0A55" w:rsidRDefault="000F0A55" w:rsidP="00714EA4">
      <w:pPr>
        <w:pStyle w:val="BodyText"/>
      </w:pPr>
    </w:p>
    <w:p w14:paraId="2E188546" w14:textId="61DC456C" w:rsidR="00714EA4" w:rsidRPr="00D91537" w:rsidRDefault="00714EA4" w:rsidP="00714EA4">
      <w:pPr>
        <w:pStyle w:val="BodyText"/>
      </w:pPr>
      <w:r>
        <w:t xml:space="preserve">The result shows that </w:t>
      </w:r>
      <w:r w:rsidRPr="00766BF5">
        <w:t>at low SNR the channel capacity is limited by the strength of the strongest channel mode and the ability of the transmitter to beamform in that direction</w:t>
      </w:r>
      <w:r>
        <w:t xml:space="preserve">. </w:t>
      </w:r>
      <w:r w:rsidRPr="00D91537">
        <w:rPr>
          <w:rFonts w:cs="Arial"/>
          <w:lang w:val="en-US"/>
        </w:rPr>
        <w:t>Moreover, at low SNR(s), channel estimates are significantly worse, resulting in a higher uncertainty of the estimates for resolving the MIMO channel matrix (e.g., eigenvalues), which in turn decreases the decoding performance.</w:t>
      </w:r>
      <w:r w:rsidR="003B7475">
        <w:rPr>
          <w:rFonts w:cs="Arial"/>
          <w:lang w:val="en-US"/>
        </w:rPr>
        <w:t xml:space="preserve"> Moreover, the simulation results presented by one company in [</w:t>
      </w:r>
      <w:r w:rsidR="00124406">
        <w:rPr>
          <w:rFonts w:cs="Arial"/>
          <w:lang w:val="en-US"/>
        </w:rPr>
        <w:t>6</w:t>
      </w:r>
      <w:r w:rsidR="003B7475">
        <w:rPr>
          <w:rFonts w:cs="Arial"/>
          <w:lang w:val="en-US"/>
        </w:rPr>
        <w:t>] support the theoretical analysis presented in this document.</w:t>
      </w:r>
    </w:p>
    <w:p w14:paraId="7DBD9F20" w14:textId="77777777" w:rsidR="00714EA4" w:rsidRDefault="00714EA4" w:rsidP="00714EA4">
      <w:pPr>
        <w:pStyle w:val="Observation"/>
        <w:ind w:left="1701" w:hanging="1701"/>
      </w:pPr>
      <w:bookmarkStart w:id="5" w:name="_Toc528930261"/>
      <w:r w:rsidRPr="009B7765">
        <w:t>For large SNR, the capacity increases linearly with the rank of the MIMO channel matrix. That is, the rank provides an intuitive insight of the channel capacity</w:t>
      </w:r>
      <w:r>
        <w:t>.</w:t>
      </w:r>
      <w:bookmarkEnd w:id="5"/>
    </w:p>
    <w:p w14:paraId="6E8E8083" w14:textId="77777777" w:rsidR="00714EA4" w:rsidRDefault="00714EA4" w:rsidP="00714EA4">
      <w:pPr>
        <w:pStyle w:val="Observation"/>
        <w:ind w:left="1701" w:hanging="1701"/>
      </w:pPr>
      <w:bookmarkStart w:id="6" w:name="_Toc528930262"/>
      <w:r>
        <w:t xml:space="preserve">For low SNR, the capacity of the MIMO channel approximately equals </w:t>
      </w:r>
      <w:r w:rsidRPr="00226554">
        <w:t>either tha</w:t>
      </w:r>
      <w:r>
        <w:t>t of a SIMO channel (at best) or</w:t>
      </w:r>
      <w:r w:rsidRPr="00226554">
        <w:t xml:space="preserve"> </w:t>
      </w:r>
      <w:r>
        <w:t>that of a SISO channel. At low SNR, to maximize throughput, the entire power is supplied only to the strongest eigenmode, which results in a single stream transmission.</w:t>
      </w:r>
      <w:bookmarkEnd w:id="6"/>
    </w:p>
    <w:p w14:paraId="54CD2C78" w14:textId="6D1FEB2C" w:rsidR="00874CF5" w:rsidRPr="003B7475" w:rsidRDefault="00714EA4" w:rsidP="003B7475">
      <w:pPr>
        <w:pStyle w:val="Proposal"/>
      </w:pPr>
      <w:bookmarkStart w:id="7" w:name="_Toc528930265"/>
      <w:r>
        <w:t xml:space="preserve">Dual-layer DL reception is not supported by </w:t>
      </w:r>
      <w:r w:rsidRPr="009B7765">
        <w:t xml:space="preserve">non-BL UEs using enhanced coverage functionality, since </w:t>
      </w:r>
      <w:r>
        <w:t xml:space="preserve">using more than one layer is </w:t>
      </w:r>
      <w:r w:rsidRPr="009B7765">
        <w:t xml:space="preserve">only </w:t>
      </w:r>
      <w:r>
        <w:t xml:space="preserve">beneficial and feasible </w:t>
      </w:r>
      <w:r w:rsidRPr="009B7765">
        <w:t>for SNR</w:t>
      </w:r>
      <w:r>
        <w:t>s</w:t>
      </w:r>
      <w:r w:rsidRPr="009B7765">
        <w:t xml:space="preserve"> </w:t>
      </w:r>
      <w:r>
        <w:t>significantly higher (&gt;&gt; 1 = 0dB) than what is targeted by CE Mode A</w:t>
      </w:r>
      <w:r w:rsidR="00343A7B">
        <w:t xml:space="preserve"> for non-BL UEs</w:t>
      </w:r>
      <w:r>
        <w:t>.</w:t>
      </w:r>
      <w:bookmarkEnd w:id="7"/>
      <w:r w:rsidR="00874CF5">
        <w:t xml:space="preserve"> </w:t>
      </w:r>
    </w:p>
    <w:p w14:paraId="3327741A" w14:textId="2B1FB14B" w:rsidR="007114A2" w:rsidRDefault="00E168B4" w:rsidP="007114A2">
      <w:pPr>
        <w:pStyle w:val="Heading2"/>
      </w:pPr>
      <w:r>
        <w:t>2.3</w:t>
      </w:r>
      <w:r w:rsidR="007114A2">
        <w:tab/>
        <w:t>Feedback based on CSI-RS</w:t>
      </w:r>
    </w:p>
    <w:p w14:paraId="5364B102" w14:textId="0B144DFE" w:rsidR="009A6ABD" w:rsidRPr="000A6AD4" w:rsidRDefault="009A6ABD" w:rsidP="0087083E">
      <w:pPr>
        <w:jc w:val="both"/>
        <w:rPr>
          <w:rFonts w:ascii="Arial" w:hAnsi="Arial" w:cs="Arial"/>
        </w:rPr>
      </w:pPr>
      <w:r w:rsidRPr="000A6AD4">
        <w:rPr>
          <w:rFonts w:ascii="Arial" w:hAnsi="Arial" w:cs="Arial"/>
        </w:rPr>
        <w:t>In Rel-10, up to 8 layers were made available for spatial multiplexing, which created a need for 8-layer channel estimation due that the Cell-specific RS (CRS) was originally designed for up to 4-layer sp</w:t>
      </w:r>
      <w:r w:rsidR="0087083E" w:rsidRPr="000A6AD4">
        <w:rPr>
          <w:rFonts w:ascii="Arial" w:hAnsi="Arial" w:cs="Arial"/>
        </w:rPr>
        <w:t>atial multiplexing. This was a</w:t>
      </w:r>
      <w:r w:rsidRPr="000A6AD4">
        <w:rPr>
          <w:rFonts w:ascii="Arial" w:hAnsi="Arial" w:cs="Arial"/>
        </w:rPr>
        <w:t xml:space="preserve"> reason </w:t>
      </w:r>
      <w:r w:rsidR="0087083E" w:rsidRPr="000A6AD4">
        <w:rPr>
          <w:rFonts w:ascii="Arial" w:hAnsi="Arial" w:cs="Arial"/>
        </w:rPr>
        <w:t xml:space="preserve">why </w:t>
      </w:r>
      <w:r w:rsidRPr="000A6AD4">
        <w:rPr>
          <w:rFonts w:ascii="Arial" w:hAnsi="Arial" w:cs="Arial"/>
        </w:rPr>
        <w:t xml:space="preserve">the Channel State Information Reference Signal (CSI-RS) was introduced, which is used to provide channel estimation for up to 8 layers (antenna ports). One important aspect to mention is that due to the sparse placement of CSI-RS (as to minimize the interference on UEs that perceive CSI-RS as </w:t>
      </w:r>
      <w:r w:rsidRPr="000A6AD4">
        <w:rPr>
          <w:rFonts w:ascii="Arial" w:hAnsi="Arial" w:cs="Arial"/>
        </w:rPr>
        <w:lastRenderedPageBreak/>
        <w:t>interference), the CSI-RS-based CSI reports will be reported over longer time intervals than CRS-based CSI reports.</w:t>
      </w:r>
    </w:p>
    <w:p w14:paraId="7CB2403D" w14:textId="58076593" w:rsidR="006D13BC" w:rsidRPr="00BE6D0C" w:rsidRDefault="000A6AD4" w:rsidP="006D13BC">
      <w:pPr>
        <w:jc w:val="both"/>
        <w:rPr>
          <w:rFonts w:ascii="Arial" w:hAnsi="Arial" w:cs="Arial"/>
          <w:i/>
        </w:rPr>
      </w:pPr>
      <w:r>
        <w:rPr>
          <w:rFonts w:ascii="Arial" w:hAnsi="Arial" w:cs="Arial"/>
        </w:rPr>
        <w:t xml:space="preserve">It is quite possible that CSI reporting based on CSI-RS can show similar benefits for a UE operating in coverage enhancement as when the feature was introduced to support TM9 in Rel-10. </w:t>
      </w:r>
      <w:r w:rsidR="009A2336">
        <w:rPr>
          <w:rFonts w:ascii="Arial" w:hAnsi="Arial" w:cs="Arial"/>
        </w:rPr>
        <w:t>An example of a “</w:t>
      </w:r>
      <w:r w:rsidR="009A2336" w:rsidRPr="009A2336">
        <w:rPr>
          <w:rFonts w:ascii="Arial" w:hAnsi="Arial" w:cs="Arial"/>
        </w:rPr>
        <w:t>Codebook for 1-layer CSI reporting</w:t>
      </w:r>
      <w:r w:rsidR="009A2336">
        <w:rPr>
          <w:rFonts w:ascii="Arial" w:hAnsi="Arial" w:cs="Arial"/>
        </w:rPr>
        <w:t xml:space="preserve">” is shown in the table below </w:t>
      </w:r>
      <w:r w:rsidR="00124406">
        <w:rPr>
          <w:rFonts w:ascii="Arial" w:hAnsi="Arial" w:cs="Arial"/>
        </w:rPr>
        <w:t>[7]</w:t>
      </w:r>
      <w:r w:rsidR="006D13BC" w:rsidRPr="006D13BC">
        <w:rPr>
          <w:rFonts w:ascii="Arial" w:hAnsi="Arial" w:cs="Arial"/>
        </w:rPr>
        <w:t>:</w:t>
      </w:r>
    </w:p>
    <w:p w14:paraId="2F692ADD" w14:textId="77777777" w:rsidR="006D13BC" w:rsidRDefault="006D13BC" w:rsidP="006D13BC">
      <w:pPr>
        <w:pStyle w:val="TH"/>
        <w:rPr>
          <w:lang w:val="en-GB" w:eastAsia="sv-SE"/>
        </w:rPr>
      </w:pPr>
      <w:r>
        <w:rPr>
          <w:lang w:val="en-US"/>
        </w:rPr>
        <w:t>Table 7.2.4-1: Codebook for 1-layer CSI reporting using antenna ports 15 to 22</w:t>
      </w:r>
    </w:p>
    <w:tbl>
      <w:tblPr>
        <w:tblW w:w="5000" w:type="pct"/>
        <w:jc w:val="center"/>
        <w:tblCellMar>
          <w:left w:w="0" w:type="dxa"/>
          <w:right w:w="0" w:type="dxa"/>
        </w:tblCellMar>
        <w:tblLook w:val="04A0" w:firstRow="1" w:lastRow="0" w:firstColumn="1" w:lastColumn="0" w:noHBand="0" w:noVBand="1"/>
      </w:tblPr>
      <w:tblGrid>
        <w:gridCol w:w="897"/>
        <w:gridCol w:w="1097"/>
        <w:gridCol w:w="1079"/>
        <w:gridCol w:w="1097"/>
        <w:gridCol w:w="1097"/>
        <w:gridCol w:w="1097"/>
        <w:gridCol w:w="1079"/>
        <w:gridCol w:w="1097"/>
        <w:gridCol w:w="1079"/>
      </w:tblGrid>
      <w:tr w:rsidR="006D13BC" w14:paraId="10D9D027" w14:textId="77777777" w:rsidTr="006D13BC">
        <w:trPr>
          <w:cantSplit/>
          <w:jc w:val="center"/>
        </w:trPr>
        <w:tc>
          <w:tcPr>
            <w:tcW w:w="467" w:type="pct"/>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9E3A1F" w14:textId="27E4E3AB" w:rsidR="006D13BC" w:rsidRDefault="006D13BC">
            <w:pPr>
              <w:pStyle w:val="TAH"/>
              <w:rPr>
                <w:lang w:val="sv-SE"/>
              </w:rPr>
            </w:pPr>
            <w:r>
              <w:rPr>
                <w:noProof/>
              </w:rPr>
              <w:drawing>
                <wp:inline distT="0" distB="0" distL="0" distR="0" wp14:anchorId="591B179B" wp14:editId="5A63208F">
                  <wp:extent cx="112395" cy="189865"/>
                  <wp:effectExtent l="0" t="0" r="1905" b="635"/>
                  <wp:docPr id="23" name="Picture 23" descr="cid:image00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1.png@01D450E9.06F26D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2395" cy="189865"/>
                          </a:xfrm>
                          <a:prstGeom prst="rect">
                            <a:avLst/>
                          </a:prstGeom>
                          <a:noFill/>
                          <a:ln>
                            <a:noFill/>
                          </a:ln>
                        </pic:spPr>
                      </pic:pic>
                    </a:graphicData>
                  </a:graphic>
                </wp:inline>
              </w:drawing>
            </w:r>
          </w:p>
        </w:tc>
        <w:tc>
          <w:tcPr>
            <w:tcW w:w="4533" w:type="pct"/>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28AF4D" w14:textId="38129EB9" w:rsidR="006D13BC" w:rsidRDefault="006D13BC">
            <w:pPr>
              <w:pStyle w:val="TAH"/>
            </w:pPr>
            <w:r>
              <w:rPr>
                <w:noProof/>
              </w:rPr>
              <w:drawing>
                <wp:inline distT="0" distB="0" distL="0" distR="0" wp14:anchorId="7F6582B3" wp14:editId="1D253944">
                  <wp:extent cx="120650" cy="189865"/>
                  <wp:effectExtent l="0" t="0" r="0" b="635"/>
                  <wp:docPr id="22" name="Picture 22" descr="cid:image00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2.png@01D450E9.06F26D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p>
        </w:tc>
      </w:tr>
      <w:tr w:rsidR="006D13BC" w14:paraId="733C65D1" w14:textId="77777777" w:rsidTr="006D13BC">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131DF9" w14:textId="77777777" w:rsidR="006D13BC" w:rsidRDefault="006D13BC">
            <w:pPr>
              <w:rPr>
                <w:rFonts w:ascii="Arial" w:hAnsi="Arial" w:cs="Arial"/>
                <w:b/>
                <w:bCs/>
              </w:rPr>
            </w:pP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71821A" w14:textId="77777777" w:rsidR="006D13BC" w:rsidRDefault="006D13BC">
            <w:pPr>
              <w:pStyle w:val="TAH"/>
            </w:pPr>
            <w:r>
              <w:t>0</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C99212E" w14:textId="77777777" w:rsidR="006D13BC" w:rsidRDefault="006D13BC">
            <w:pPr>
              <w:pStyle w:val="TAH"/>
            </w:pPr>
            <w:r>
              <w:t>1</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99AE25E" w14:textId="77777777" w:rsidR="006D13BC" w:rsidRDefault="006D13BC">
            <w:pPr>
              <w:pStyle w:val="TAH"/>
            </w:pPr>
            <w:r>
              <w:t>2</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5EADEFA" w14:textId="77777777" w:rsidR="006D13BC" w:rsidRDefault="006D13BC">
            <w:pPr>
              <w:pStyle w:val="TAH"/>
            </w:pPr>
            <w:r>
              <w:t>3</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790AD0" w14:textId="77777777" w:rsidR="006D13BC" w:rsidRDefault="006D13BC">
            <w:pPr>
              <w:pStyle w:val="TAH"/>
            </w:pPr>
            <w:r>
              <w:t>4</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A0C048" w14:textId="77777777" w:rsidR="006D13BC" w:rsidRDefault="006D13BC">
            <w:pPr>
              <w:pStyle w:val="TAH"/>
            </w:pPr>
            <w:r>
              <w:t>5</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FD413B" w14:textId="77777777" w:rsidR="006D13BC" w:rsidRDefault="006D13BC">
            <w:pPr>
              <w:pStyle w:val="TAH"/>
            </w:pPr>
            <w:r>
              <w:t>6</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BC3B50" w14:textId="77777777" w:rsidR="006D13BC" w:rsidRDefault="006D13BC">
            <w:pPr>
              <w:pStyle w:val="TAH"/>
            </w:pPr>
            <w:r>
              <w:t>7</w:t>
            </w:r>
          </w:p>
        </w:tc>
      </w:tr>
      <w:tr w:rsidR="006D13BC" w14:paraId="39F9C7C1" w14:textId="77777777" w:rsidTr="006D13BC">
        <w:trPr>
          <w:cantSplit/>
          <w:jc w:val="center"/>
        </w:trPr>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B0992" w14:textId="77777777" w:rsidR="006D13BC" w:rsidRDefault="006D13BC">
            <w:pPr>
              <w:pStyle w:val="TAC"/>
            </w:pPr>
            <w:r>
              <w:t>0 – 15</w:t>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B0F9C" w14:textId="63208835" w:rsidR="006D13BC" w:rsidRDefault="006D13BC">
            <w:pPr>
              <w:pStyle w:val="TAC"/>
            </w:pPr>
            <w:r>
              <w:rPr>
                <w:noProof/>
                <w:position w:val="-16"/>
              </w:rPr>
              <w:drawing>
                <wp:inline distT="0" distB="0" distL="0" distR="0" wp14:anchorId="745414B8" wp14:editId="7A4C7B3B">
                  <wp:extent cx="310515" cy="259080"/>
                  <wp:effectExtent l="0" t="0" r="0" b="7620"/>
                  <wp:docPr id="21" name="Picture 21" descr="cid:image003.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03.png@01D450E9.06F26D2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2D155" w14:textId="797143F4" w:rsidR="006D13BC" w:rsidRDefault="006D13BC">
            <w:pPr>
              <w:pStyle w:val="TAC"/>
            </w:pPr>
            <w:r>
              <w:rPr>
                <w:noProof/>
                <w:position w:val="-16"/>
              </w:rPr>
              <w:drawing>
                <wp:inline distT="0" distB="0" distL="0" distR="0" wp14:anchorId="58ABD53F" wp14:editId="78F566AF">
                  <wp:extent cx="301625" cy="259080"/>
                  <wp:effectExtent l="0" t="0" r="3175" b="7620"/>
                  <wp:docPr id="20" name="Picture 20" descr="cid:image004.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50E9.06F26D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162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54E85" w14:textId="7FA782AC" w:rsidR="006D13BC" w:rsidRDefault="006D13BC">
            <w:pPr>
              <w:pStyle w:val="TAC"/>
            </w:pPr>
            <w:r>
              <w:rPr>
                <w:noProof/>
                <w:position w:val="-16"/>
              </w:rPr>
              <w:drawing>
                <wp:inline distT="0" distB="0" distL="0" distR="0" wp14:anchorId="5320BC36" wp14:editId="351B9ECA">
                  <wp:extent cx="310515" cy="259080"/>
                  <wp:effectExtent l="0" t="0" r="0" b="7620"/>
                  <wp:docPr id="19" name="Picture 19" descr="cid:image005.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5.png@01D450E9.06F26D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21756" w14:textId="118F15DA" w:rsidR="006D13BC" w:rsidRDefault="006D13BC">
            <w:pPr>
              <w:pStyle w:val="TAC"/>
            </w:pPr>
            <w:r>
              <w:rPr>
                <w:noProof/>
                <w:position w:val="-16"/>
              </w:rPr>
              <w:drawing>
                <wp:inline distT="0" distB="0" distL="0" distR="0" wp14:anchorId="29E133CB" wp14:editId="4D1AA093">
                  <wp:extent cx="310515" cy="259080"/>
                  <wp:effectExtent l="0" t="0" r="0" b="7620"/>
                  <wp:docPr id="18" name="Picture 18" descr="cid:image006.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6.png@01D450E9.06F26D2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621F8" w14:textId="207865F0" w:rsidR="006D13BC" w:rsidRDefault="006D13BC">
            <w:pPr>
              <w:pStyle w:val="TAC"/>
            </w:pPr>
            <w:r>
              <w:rPr>
                <w:noProof/>
                <w:position w:val="-16"/>
              </w:rPr>
              <w:drawing>
                <wp:inline distT="0" distB="0" distL="0" distR="0" wp14:anchorId="3F8CB3DC" wp14:editId="423904C2">
                  <wp:extent cx="422910" cy="259080"/>
                  <wp:effectExtent l="0" t="0" r="0" b="7620"/>
                  <wp:docPr id="17" name="Picture 17" descr="cid:image007.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7.png@01D450E9.06F26D2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21E4F" w14:textId="3E12471A" w:rsidR="006D13BC" w:rsidRDefault="006D13BC">
            <w:pPr>
              <w:pStyle w:val="TAC"/>
            </w:pPr>
            <w:r>
              <w:rPr>
                <w:noProof/>
                <w:position w:val="-16"/>
              </w:rPr>
              <w:drawing>
                <wp:inline distT="0" distB="0" distL="0" distR="0" wp14:anchorId="13DCD2D8" wp14:editId="3692F01D">
                  <wp:extent cx="387985" cy="259080"/>
                  <wp:effectExtent l="0" t="0" r="0" b="7620"/>
                  <wp:docPr id="16" name="Picture 16" descr="cid:image008.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8.png@01D450E9.06F26D2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38798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16FCD" w14:textId="0372C668" w:rsidR="006D13BC" w:rsidRDefault="006D13BC">
            <w:pPr>
              <w:pStyle w:val="TAC"/>
            </w:pPr>
            <w:r>
              <w:rPr>
                <w:noProof/>
                <w:position w:val="-16"/>
              </w:rPr>
              <w:drawing>
                <wp:inline distT="0" distB="0" distL="0" distR="0" wp14:anchorId="19916CBB" wp14:editId="774A963E">
                  <wp:extent cx="422910" cy="259080"/>
                  <wp:effectExtent l="0" t="0" r="0" b="7620"/>
                  <wp:docPr id="15" name="Picture 15" descr="cid:image009.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9.png@01D450E9.06F26D2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AE0AA" w14:textId="73651B59" w:rsidR="006D13BC" w:rsidRDefault="006D13BC">
            <w:pPr>
              <w:pStyle w:val="TAC"/>
            </w:pPr>
            <w:r>
              <w:rPr>
                <w:noProof/>
                <w:position w:val="-16"/>
              </w:rPr>
              <w:drawing>
                <wp:inline distT="0" distB="0" distL="0" distR="0" wp14:anchorId="7B05079D" wp14:editId="67CE60D1">
                  <wp:extent cx="422910" cy="259080"/>
                  <wp:effectExtent l="0" t="0" r="0" b="7620"/>
                  <wp:docPr id="14" name="Picture 14" descr="cid:image010.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0.png@01D450E9.06F26D2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r>
      <w:tr w:rsidR="006D13BC" w14:paraId="36A88C22" w14:textId="77777777" w:rsidTr="006D13BC">
        <w:trPr>
          <w:cantSplit/>
          <w:jc w:val="center"/>
        </w:trPr>
        <w:tc>
          <w:tcPr>
            <w:tcW w:w="467" w:type="pct"/>
            <w:vMerge w:val="restart"/>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710377" w14:textId="5AB8FE3E" w:rsidR="006D13BC" w:rsidRDefault="006D13BC">
            <w:pPr>
              <w:pStyle w:val="TAH"/>
            </w:pPr>
            <w:r>
              <w:rPr>
                <w:noProof/>
              </w:rPr>
              <w:drawing>
                <wp:inline distT="0" distB="0" distL="0" distR="0" wp14:anchorId="0B020F65" wp14:editId="7DB31852">
                  <wp:extent cx="112395" cy="189865"/>
                  <wp:effectExtent l="0" t="0" r="1905" b="635"/>
                  <wp:docPr id="13" name="Picture 13" descr="cid:image00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50E9.06F26D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2395" cy="189865"/>
                          </a:xfrm>
                          <a:prstGeom prst="rect">
                            <a:avLst/>
                          </a:prstGeom>
                          <a:noFill/>
                          <a:ln>
                            <a:noFill/>
                          </a:ln>
                        </pic:spPr>
                      </pic:pic>
                    </a:graphicData>
                  </a:graphic>
                </wp:inline>
              </w:drawing>
            </w:r>
          </w:p>
        </w:tc>
        <w:tc>
          <w:tcPr>
            <w:tcW w:w="4533" w:type="pct"/>
            <w:gridSpan w:val="8"/>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9EC998" w14:textId="11949789" w:rsidR="006D13BC" w:rsidRDefault="006D13BC">
            <w:pPr>
              <w:pStyle w:val="TAH"/>
            </w:pPr>
            <w:r>
              <w:rPr>
                <w:noProof/>
              </w:rPr>
              <w:drawing>
                <wp:inline distT="0" distB="0" distL="0" distR="0" wp14:anchorId="691544D2" wp14:editId="4274B019">
                  <wp:extent cx="120650" cy="189865"/>
                  <wp:effectExtent l="0" t="0" r="0" b="635"/>
                  <wp:docPr id="12" name="Picture 12" descr="cid:image00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2.png@01D450E9.06F26D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p>
        </w:tc>
      </w:tr>
      <w:tr w:rsidR="006D13BC" w14:paraId="6D476EAD" w14:textId="77777777" w:rsidTr="006D13BC">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B14CBDD" w14:textId="77777777" w:rsidR="006D13BC" w:rsidRDefault="006D13BC">
            <w:pPr>
              <w:rPr>
                <w:rFonts w:ascii="Arial" w:hAnsi="Arial" w:cs="Arial"/>
                <w:b/>
                <w:bCs/>
              </w:rPr>
            </w:pP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DDE37B" w14:textId="77777777" w:rsidR="006D13BC" w:rsidRDefault="006D13BC">
            <w:pPr>
              <w:pStyle w:val="TAH"/>
            </w:pPr>
            <w:r>
              <w:t>8</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6CCBD0" w14:textId="77777777" w:rsidR="006D13BC" w:rsidRDefault="006D13BC">
            <w:pPr>
              <w:pStyle w:val="TAH"/>
            </w:pPr>
            <w:r>
              <w:t>9</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6D3B424" w14:textId="77777777" w:rsidR="006D13BC" w:rsidRDefault="006D13BC">
            <w:pPr>
              <w:pStyle w:val="TAH"/>
            </w:pPr>
            <w:r>
              <w:t>10</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B2B128" w14:textId="77777777" w:rsidR="006D13BC" w:rsidRDefault="006D13BC">
            <w:pPr>
              <w:pStyle w:val="TAH"/>
            </w:pPr>
            <w:r>
              <w:t>11</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430A78" w14:textId="77777777" w:rsidR="006D13BC" w:rsidRDefault="006D13BC">
            <w:pPr>
              <w:pStyle w:val="TAH"/>
            </w:pPr>
            <w:r>
              <w:t>12</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F58D9C" w14:textId="77777777" w:rsidR="006D13BC" w:rsidRDefault="006D13BC">
            <w:pPr>
              <w:pStyle w:val="TAH"/>
            </w:pPr>
            <w:r>
              <w:t>13</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4688CB" w14:textId="77777777" w:rsidR="006D13BC" w:rsidRDefault="006D13BC">
            <w:pPr>
              <w:pStyle w:val="TAH"/>
            </w:pPr>
            <w:r>
              <w:t>14</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FA9589" w14:textId="77777777" w:rsidR="006D13BC" w:rsidRDefault="006D13BC">
            <w:pPr>
              <w:pStyle w:val="TAH"/>
            </w:pPr>
            <w:r>
              <w:t>15</w:t>
            </w:r>
          </w:p>
        </w:tc>
      </w:tr>
      <w:tr w:rsidR="006D13BC" w14:paraId="04046D9E" w14:textId="77777777" w:rsidTr="006D13BC">
        <w:trPr>
          <w:cantSplit/>
          <w:jc w:val="center"/>
        </w:trPr>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DDA3E" w14:textId="77777777" w:rsidR="006D13BC" w:rsidRDefault="006D13BC">
            <w:pPr>
              <w:pStyle w:val="TAC"/>
            </w:pPr>
            <w:r>
              <w:t>0 - 15</w:t>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A7AA0" w14:textId="5FF660C8" w:rsidR="006D13BC" w:rsidRDefault="006D13BC">
            <w:pPr>
              <w:pStyle w:val="TAC"/>
            </w:pPr>
            <w:r>
              <w:rPr>
                <w:noProof/>
                <w:position w:val="-16"/>
              </w:rPr>
              <w:drawing>
                <wp:inline distT="0" distB="0" distL="0" distR="0" wp14:anchorId="6FFE0FCB" wp14:editId="1C9A2126">
                  <wp:extent cx="422910" cy="259080"/>
                  <wp:effectExtent l="0" t="0" r="0" b="7620"/>
                  <wp:docPr id="11" name="Picture 11" descr="cid:image01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1.png@01D450E9.06F26D2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F40DC" w14:textId="391CEB7C" w:rsidR="006D13BC" w:rsidRDefault="006D13BC">
            <w:pPr>
              <w:pStyle w:val="TAC"/>
            </w:pPr>
            <w:r>
              <w:rPr>
                <w:noProof/>
                <w:position w:val="-16"/>
              </w:rPr>
              <w:drawing>
                <wp:inline distT="0" distB="0" distL="0" distR="0" wp14:anchorId="00B0C0FB" wp14:editId="1D0A8F01">
                  <wp:extent cx="422910" cy="259080"/>
                  <wp:effectExtent l="0" t="0" r="0" b="7620"/>
                  <wp:docPr id="10" name="Picture 10" descr="cid:image01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2.png@01D450E9.06F26D2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837F9" w14:textId="594E84EE" w:rsidR="006D13BC" w:rsidRDefault="006D13BC">
            <w:pPr>
              <w:pStyle w:val="TAC"/>
            </w:pPr>
            <w:r>
              <w:rPr>
                <w:noProof/>
                <w:position w:val="-16"/>
              </w:rPr>
              <w:drawing>
                <wp:inline distT="0" distB="0" distL="0" distR="0" wp14:anchorId="17E815C2" wp14:editId="36DD0D28">
                  <wp:extent cx="422910" cy="259080"/>
                  <wp:effectExtent l="0" t="0" r="0" b="7620"/>
                  <wp:docPr id="9" name="Picture 9" descr="cid:image013.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3.png@01D450E9.06F26D2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835A1" w14:textId="73A0A993" w:rsidR="006D13BC" w:rsidRDefault="006D13BC">
            <w:pPr>
              <w:pStyle w:val="TAC"/>
            </w:pPr>
            <w:r>
              <w:rPr>
                <w:noProof/>
                <w:position w:val="-16"/>
              </w:rPr>
              <w:drawing>
                <wp:inline distT="0" distB="0" distL="0" distR="0" wp14:anchorId="3D976C46" wp14:editId="066534A1">
                  <wp:extent cx="422910" cy="259080"/>
                  <wp:effectExtent l="0" t="0" r="0" b="7620"/>
                  <wp:docPr id="8" name="Picture 8" descr="cid:image014.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4.png@01D450E9.06F26D2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E4A2A" w14:textId="093F73C2" w:rsidR="006D13BC" w:rsidRDefault="006D13BC">
            <w:pPr>
              <w:pStyle w:val="TAC"/>
            </w:pPr>
            <w:r>
              <w:rPr>
                <w:noProof/>
                <w:position w:val="-16"/>
              </w:rPr>
              <w:drawing>
                <wp:inline distT="0" distB="0" distL="0" distR="0" wp14:anchorId="752192A1" wp14:editId="56B56DBB">
                  <wp:extent cx="422910" cy="259080"/>
                  <wp:effectExtent l="0" t="0" r="0" b="7620"/>
                  <wp:docPr id="5" name="Picture 5" descr="cid:image015.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5.png@01D450E9.06F26D2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FFDA9" w14:textId="0BBC3C3F" w:rsidR="006D13BC" w:rsidRDefault="006D13BC">
            <w:pPr>
              <w:pStyle w:val="TAC"/>
            </w:pPr>
            <w:r>
              <w:rPr>
                <w:noProof/>
                <w:position w:val="-16"/>
              </w:rPr>
              <w:drawing>
                <wp:inline distT="0" distB="0" distL="0" distR="0" wp14:anchorId="240320E1" wp14:editId="3BE6439A">
                  <wp:extent cx="422910" cy="259080"/>
                  <wp:effectExtent l="0" t="0" r="0" b="7620"/>
                  <wp:docPr id="4" name="Picture 4" descr="cid:image016.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6.png@01D450E9.06F26D2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2EC0C" w14:textId="3A625F83" w:rsidR="006D13BC" w:rsidRDefault="006D13BC">
            <w:pPr>
              <w:pStyle w:val="TAC"/>
            </w:pPr>
            <w:r>
              <w:rPr>
                <w:noProof/>
                <w:position w:val="-16"/>
              </w:rPr>
              <w:drawing>
                <wp:inline distT="0" distB="0" distL="0" distR="0" wp14:anchorId="27110AEB" wp14:editId="3054A59E">
                  <wp:extent cx="422910" cy="259080"/>
                  <wp:effectExtent l="0" t="0" r="0" b="7620"/>
                  <wp:docPr id="3" name="Picture 3" descr="cid:image017.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7.png@01D450E9.06F26D2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67648" w14:textId="73B429F5" w:rsidR="006D13BC" w:rsidRDefault="006D13BC">
            <w:pPr>
              <w:pStyle w:val="TAC"/>
            </w:pPr>
            <w:r>
              <w:rPr>
                <w:noProof/>
                <w:position w:val="-16"/>
              </w:rPr>
              <w:drawing>
                <wp:inline distT="0" distB="0" distL="0" distR="0" wp14:anchorId="53DC8F2B" wp14:editId="326F5247">
                  <wp:extent cx="422910" cy="259080"/>
                  <wp:effectExtent l="0" t="0" r="0" b="7620"/>
                  <wp:docPr id="2" name="Picture 2" descr="cid:image018.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8.png@01D450E9.06F26D20"/>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r>
      <w:tr w:rsidR="006D13BC" w14:paraId="1EC85ED5" w14:textId="77777777" w:rsidTr="006D13BC">
        <w:trPr>
          <w:cantSplit/>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E087C" w14:textId="1BBB17E9" w:rsidR="006D13BC" w:rsidRDefault="006D13BC">
            <w:pPr>
              <w:pStyle w:val="TAC"/>
            </w:pPr>
            <w:r>
              <w:t xml:space="preserve">where </w:t>
            </w:r>
            <w:r>
              <w:rPr>
                <w:noProof/>
                <w:position w:val="-28"/>
              </w:rPr>
              <w:drawing>
                <wp:inline distT="0" distB="0" distL="0" distR="0" wp14:anchorId="4F6D4E7F" wp14:editId="142CF4E1">
                  <wp:extent cx="1000760" cy="422910"/>
                  <wp:effectExtent l="0" t="0" r="8890" b="0"/>
                  <wp:docPr id="1" name="Picture 1" descr="cid:image019.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9.png@01D450E9.06F26D20"/>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000760" cy="422910"/>
                          </a:xfrm>
                          <a:prstGeom prst="rect">
                            <a:avLst/>
                          </a:prstGeom>
                          <a:noFill/>
                          <a:ln>
                            <a:noFill/>
                          </a:ln>
                        </pic:spPr>
                      </pic:pic>
                    </a:graphicData>
                  </a:graphic>
                </wp:inline>
              </w:drawing>
            </w:r>
          </w:p>
        </w:tc>
      </w:tr>
    </w:tbl>
    <w:p w14:paraId="54CB3483" w14:textId="77777777" w:rsidR="006D13BC" w:rsidRDefault="006D13BC" w:rsidP="006D13BC">
      <w:pPr>
        <w:rPr>
          <w:rFonts w:ascii="Calibri" w:hAnsi="Calibri" w:cs="Calibri"/>
          <w:sz w:val="22"/>
          <w:szCs w:val="22"/>
          <w:lang w:val="en-US" w:eastAsia="en-US"/>
        </w:rPr>
      </w:pPr>
    </w:p>
    <w:p w14:paraId="048A5F01" w14:textId="621D3E8E" w:rsidR="004133DB" w:rsidRDefault="004133DB" w:rsidP="0090768A">
      <w:pPr>
        <w:jc w:val="both"/>
        <w:rPr>
          <w:rFonts w:ascii="Arial" w:hAnsi="Arial" w:cs="Arial"/>
          <w:lang w:val="en-US" w:eastAsia="en-US"/>
        </w:rPr>
      </w:pPr>
      <w:r>
        <w:rPr>
          <w:rFonts w:ascii="Arial" w:hAnsi="Arial" w:cs="Arial"/>
          <w:lang w:val="en-US" w:eastAsia="en-US"/>
        </w:rPr>
        <w:t>In the case of the table above, the indices i</w:t>
      </w:r>
      <w:r w:rsidRPr="00C573C4">
        <w:rPr>
          <w:rFonts w:ascii="Arial" w:hAnsi="Arial" w:cs="Arial"/>
          <w:vertAlign w:val="subscript"/>
          <w:lang w:val="en-US" w:eastAsia="en-US"/>
        </w:rPr>
        <w:t>1</w:t>
      </w:r>
      <w:r>
        <w:rPr>
          <w:rFonts w:ascii="Arial" w:hAnsi="Arial" w:cs="Arial"/>
          <w:lang w:val="en-US" w:eastAsia="en-US"/>
        </w:rPr>
        <w:t xml:space="preserve"> and i</w:t>
      </w:r>
      <w:r w:rsidRPr="00C573C4">
        <w:rPr>
          <w:rFonts w:ascii="Arial" w:hAnsi="Arial" w:cs="Arial"/>
          <w:vertAlign w:val="subscript"/>
          <w:lang w:val="en-US" w:eastAsia="en-US"/>
        </w:rPr>
        <w:t>2</w:t>
      </w:r>
      <w:r>
        <w:rPr>
          <w:rFonts w:ascii="Arial" w:hAnsi="Arial" w:cs="Arial"/>
          <w:lang w:val="en-US" w:eastAsia="en-US"/>
        </w:rPr>
        <w:t xml:space="preserve"> (both in a range </w:t>
      </w:r>
      <w:r w:rsidRPr="00E4342F">
        <w:rPr>
          <w:rFonts w:ascii="Arial" w:hAnsi="Arial" w:cs="Arial"/>
          <w:lang w:val="en-US" w:eastAsia="en-US"/>
        </w:rPr>
        <w:t>from 0 to 15</w:t>
      </w:r>
      <w:r>
        <w:rPr>
          <w:rFonts w:ascii="Arial" w:hAnsi="Arial" w:cs="Arial"/>
          <w:lang w:val="en-US" w:eastAsia="en-US"/>
        </w:rPr>
        <w:t xml:space="preserve">) are used by the base station to </w:t>
      </w:r>
      <w:r w:rsidRPr="00E4342F">
        <w:rPr>
          <w:rFonts w:ascii="Arial" w:hAnsi="Arial" w:cs="Arial"/>
          <w:lang w:val="en-US" w:eastAsia="en-US"/>
        </w:rPr>
        <w:t xml:space="preserve">reconstruct </w:t>
      </w:r>
      <w:r>
        <w:rPr>
          <w:rFonts w:ascii="Arial" w:hAnsi="Arial" w:cs="Arial"/>
          <w:lang w:val="en-US" w:eastAsia="en-US"/>
        </w:rPr>
        <w:t>the</w:t>
      </w:r>
      <w:r w:rsidRPr="00E4342F">
        <w:rPr>
          <w:rFonts w:ascii="Arial" w:hAnsi="Arial" w:cs="Arial"/>
          <w:lang w:val="en-US" w:eastAsia="en-US"/>
        </w:rPr>
        <w:t xml:space="preserve"> precoding matrix</w:t>
      </w:r>
      <w:r>
        <w:rPr>
          <w:rFonts w:ascii="Arial" w:hAnsi="Arial" w:cs="Arial"/>
          <w:lang w:val="en-US" w:eastAsia="en-US"/>
        </w:rPr>
        <w:t>.</w:t>
      </w:r>
    </w:p>
    <w:p w14:paraId="24EBE7E1" w14:textId="03BEB708" w:rsidR="00BF3B4E" w:rsidRDefault="00AB39D0" w:rsidP="00BF3B4E">
      <w:pPr>
        <w:jc w:val="both"/>
      </w:pPr>
      <w:r w:rsidRPr="00124406">
        <w:rPr>
          <w:rFonts w:ascii="Arial" w:hAnsi="Arial" w:cs="Arial"/>
          <w:lang w:val="en-US" w:eastAsia="en-US"/>
        </w:rPr>
        <w:t>T</w:t>
      </w:r>
      <w:r w:rsidR="006D13BC" w:rsidRPr="00124406">
        <w:rPr>
          <w:rFonts w:ascii="Arial" w:hAnsi="Arial" w:cs="Arial"/>
          <w:lang w:val="en-US" w:eastAsia="en-US"/>
        </w:rPr>
        <w:t xml:space="preserve">he question </w:t>
      </w:r>
      <w:r w:rsidRPr="00124406">
        <w:rPr>
          <w:rFonts w:ascii="Arial" w:hAnsi="Arial" w:cs="Arial"/>
          <w:lang w:val="en-US" w:eastAsia="en-US"/>
        </w:rPr>
        <w:t xml:space="preserve">to be studied as part of this Work Item objective </w:t>
      </w:r>
      <w:r w:rsidR="006D13BC" w:rsidRPr="00124406">
        <w:rPr>
          <w:rFonts w:ascii="Arial" w:hAnsi="Arial" w:cs="Arial"/>
          <w:lang w:val="en-US" w:eastAsia="en-US"/>
        </w:rPr>
        <w:t>is whether the 8 CSI RS that would be transmitted at low SNR regions for CSI estimation purposes can be used by the UE to provide accurate values of i</w:t>
      </w:r>
      <w:r w:rsidR="006D13BC" w:rsidRPr="00124406">
        <w:rPr>
          <w:rFonts w:ascii="Arial" w:hAnsi="Arial" w:cs="Arial"/>
          <w:vertAlign w:val="subscript"/>
          <w:lang w:val="en-US" w:eastAsia="en-US"/>
        </w:rPr>
        <w:t>1</w:t>
      </w:r>
      <w:r w:rsidR="006D13BC" w:rsidRPr="00124406">
        <w:rPr>
          <w:rFonts w:ascii="Arial" w:hAnsi="Arial" w:cs="Arial"/>
          <w:lang w:val="en-US" w:eastAsia="en-US"/>
        </w:rPr>
        <w:t xml:space="preserve"> and i</w:t>
      </w:r>
      <w:r w:rsidR="006D13BC" w:rsidRPr="00124406">
        <w:rPr>
          <w:rFonts w:ascii="Arial" w:hAnsi="Arial" w:cs="Arial"/>
          <w:vertAlign w:val="subscript"/>
          <w:lang w:val="en-US" w:eastAsia="en-US"/>
        </w:rPr>
        <w:t>2</w:t>
      </w:r>
      <w:r w:rsidR="006D13BC" w:rsidRPr="00124406">
        <w:rPr>
          <w:rFonts w:ascii="Arial" w:hAnsi="Arial" w:cs="Arial"/>
          <w:lang w:val="en-US" w:eastAsia="en-US"/>
        </w:rPr>
        <w:t xml:space="preserve"> so the eNodeB can use them to select an appropriate precoding matrix</w:t>
      </w:r>
      <w:r w:rsidRPr="00124406">
        <w:rPr>
          <w:rFonts w:ascii="Arial" w:hAnsi="Arial" w:cs="Arial"/>
          <w:lang w:val="en-US" w:eastAsia="en-US"/>
        </w:rPr>
        <w:t>.</w:t>
      </w:r>
      <w:r w:rsidR="001C6964">
        <w:rPr>
          <w:rFonts w:ascii="Arial" w:hAnsi="Arial" w:cs="Arial"/>
          <w:lang w:val="en-US" w:eastAsia="en-US"/>
        </w:rPr>
        <w:t xml:space="preserve"> </w:t>
      </w:r>
      <w:r w:rsidR="000A6AD4">
        <w:rPr>
          <w:rFonts w:ascii="Arial" w:hAnsi="Arial" w:cs="Arial"/>
        </w:rPr>
        <w:t xml:space="preserve">In particular, it can be expected to be useful for transmission based on beamforming, since improved channel estimation can be crucial for improving the selection of correct precoder at low SNR. By using (up to) eight CSI-RS ports it is possible to </w:t>
      </w:r>
      <w:r w:rsidR="00BF3B4E">
        <w:rPr>
          <w:rFonts w:ascii="Arial" w:hAnsi="Arial" w:cs="Arial"/>
        </w:rPr>
        <w:t>obtain</w:t>
      </w:r>
      <w:r w:rsidR="000A6AD4">
        <w:rPr>
          <w:rFonts w:ascii="Arial" w:hAnsi="Arial" w:cs="Arial"/>
        </w:rPr>
        <w:t xml:space="preserve"> a more accurate </w:t>
      </w:r>
      <w:r w:rsidR="00BF3B4E">
        <w:rPr>
          <w:rFonts w:ascii="Arial" w:hAnsi="Arial" w:cs="Arial"/>
        </w:rPr>
        <w:t xml:space="preserve">estimation of the preferred </w:t>
      </w:r>
      <w:r w:rsidR="000A6AD4">
        <w:rPr>
          <w:rFonts w:ascii="Arial" w:hAnsi="Arial" w:cs="Arial"/>
        </w:rPr>
        <w:t xml:space="preserve">precoder than using only CRS. </w:t>
      </w:r>
      <w:r w:rsidR="00BF3B4E">
        <w:rPr>
          <w:rFonts w:ascii="Arial" w:hAnsi="Arial" w:cs="Arial"/>
        </w:rPr>
        <w:t xml:space="preserve">However, it may also be challenging to achieve enough processing gain for such accurate estimation at the low SNR levels associated with operation in enhanced coverage. </w:t>
      </w:r>
      <w:r w:rsidR="000A6AD4">
        <w:rPr>
          <w:rFonts w:ascii="Arial" w:hAnsi="Arial" w:cs="Arial"/>
        </w:rPr>
        <w:t>Whether or not there are any significant gains for at least some practical scenarios should be studied and shown by simulations.</w:t>
      </w:r>
    </w:p>
    <w:p w14:paraId="092B753D" w14:textId="47E52A19" w:rsidR="00BF3B4E" w:rsidRDefault="00BF3B4E" w:rsidP="00BF3B4E">
      <w:pPr>
        <w:pStyle w:val="Proposal"/>
      </w:pPr>
      <w:bookmarkStart w:id="8" w:name="_Toc528930266"/>
      <w:r>
        <w:t xml:space="preserve">The </w:t>
      </w:r>
      <w:r w:rsidR="00DC47B3">
        <w:t xml:space="preserve">potential </w:t>
      </w:r>
      <w:r>
        <w:t>benefit</w:t>
      </w:r>
      <w:r w:rsidR="00DC47B3">
        <w:t>s</w:t>
      </w:r>
      <w:r>
        <w:t xml:space="preserve"> of using feedback </w:t>
      </w:r>
      <w:r>
        <w:rPr>
          <w:noProof/>
        </w:rPr>
        <w:t xml:space="preserve">based on CSI-RS for beamforming-based transmission at SNR levels associated with enhanced coverage shall be </w:t>
      </w:r>
      <w:r w:rsidR="00AB39D0">
        <w:rPr>
          <w:noProof/>
        </w:rPr>
        <w:t xml:space="preserve">evaluated </w:t>
      </w:r>
      <w:r w:rsidR="00DC47B3">
        <w:rPr>
          <w:noProof/>
        </w:rPr>
        <w:t>(e.g., in terms of improving the selection of the correct precoder)</w:t>
      </w:r>
      <w:r>
        <w:t>.</w:t>
      </w:r>
      <w:bookmarkEnd w:id="8"/>
    </w:p>
    <w:p w14:paraId="183D51A2" w14:textId="4475F55B" w:rsidR="0087083E" w:rsidRPr="009A6ABD" w:rsidRDefault="00AE1DDD" w:rsidP="0087083E">
      <w:pPr>
        <w:jc w:val="both"/>
      </w:pPr>
      <w:r>
        <w:rPr>
          <w:rFonts w:ascii="Arial" w:hAnsi="Arial" w:cs="Arial"/>
        </w:rPr>
        <w:t xml:space="preserve"> </w:t>
      </w:r>
    </w:p>
    <w:p w14:paraId="5300F849" w14:textId="77777777" w:rsidR="00C01F33" w:rsidRPr="00CE0424" w:rsidRDefault="00C01F33" w:rsidP="00CE0424">
      <w:pPr>
        <w:pStyle w:val="Heading1"/>
      </w:pPr>
      <w:r w:rsidRPr="00CE0424">
        <w:t>Conclusion</w:t>
      </w:r>
    </w:p>
    <w:p w14:paraId="58D5E936" w14:textId="77777777"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Pr="00CE0424">
        <w:t>:</w:t>
      </w:r>
    </w:p>
    <w:p w14:paraId="3CE8650E" w14:textId="77777777" w:rsidR="00921721" w:rsidRPr="00921721" w:rsidRDefault="00921721" w:rsidP="008E065E">
      <w:pPr>
        <w:pStyle w:val="BodyText"/>
        <w:rPr>
          <w:b/>
        </w:rPr>
      </w:pPr>
    </w:p>
    <w:p w14:paraId="4F6CA1AE" w14:textId="2614792D" w:rsidR="002455D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30261" w:history="1">
        <w:r w:rsidR="002455D5" w:rsidRPr="00084DFA">
          <w:rPr>
            <w:rStyle w:val="Hyperlink"/>
            <w:noProof/>
          </w:rPr>
          <w:t>Observation 1</w:t>
        </w:r>
        <w:r w:rsidR="002455D5">
          <w:rPr>
            <w:rFonts w:asciiTheme="minorHAnsi" w:eastAsiaTheme="minorEastAsia" w:hAnsiTheme="minorHAnsi" w:cstheme="minorBidi"/>
            <w:b w:val="0"/>
            <w:noProof/>
            <w:sz w:val="22"/>
            <w:szCs w:val="22"/>
            <w:lang w:val="en-US" w:eastAsia="en-US"/>
          </w:rPr>
          <w:tab/>
        </w:r>
        <w:r w:rsidR="002455D5" w:rsidRPr="00084DFA">
          <w:rPr>
            <w:rStyle w:val="Hyperlink"/>
            <w:noProof/>
          </w:rPr>
          <w:t>For large SNR, the capacity increases linearly with the rank of the MIMO channel matrix. That is, the rank provides an intuitive insight of the channel capacity.</w:t>
        </w:r>
      </w:hyperlink>
    </w:p>
    <w:p w14:paraId="15836B40" w14:textId="20674770" w:rsidR="002455D5" w:rsidRDefault="002455D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0262" w:history="1">
        <w:r w:rsidRPr="00084DFA">
          <w:rPr>
            <w:rStyle w:val="Hyperlink"/>
            <w:noProof/>
          </w:rPr>
          <w:t>Observation 2</w:t>
        </w:r>
        <w:r>
          <w:rPr>
            <w:rFonts w:asciiTheme="minorHAnsi" w:eastAsiaTheme="minorEastAsia" w:hAnsiTheme="minorHAnsi" w:cstheme="minorBidi"/>
            <w:b w:val="0"/>
            <w:noProof/>
            <w:sz w:val="22"/>
            <w:szCs w:val="22"/>
            <w:lang w:val="en-US" w:eastAsia="en-US"/>
          </w:rPr>
          <w:tab/>
        </w:r>
        <w:r w:rsidRPr="00084DFA">
          <w:rPr>
            <w:rStyle w:val="Hyperlink"/>
            <w:noProof/>
          </w:rPr>
          <w:t>For low SNR, the capacity of the MIMO channel approximately equals either that of a SIMO channel (at best) or that of a SISO channel. At low SNR, to maximize throughput, the entire power is supplied only to the strongest eigenmode, which results in a single stream transmission.</w:t>
        </w:r>
      </w:hyperlink>
    </w:p>
    <w:p w14:paraId="1717CEE3" w14:textId="3159B86E" w:rsidR="00901E6B" w:rsidRDefault="006F6582" w:rsidP="00901E6B">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28CAF3" w14:textId="7B9A3209" w:rsidR="002455D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0265" w:history="1">
        <w:r w:rsidR="002455D5" w:rsidRPr="007C0E1D">
          <w:rPr>
            <w:rStyle w:val="Hyperlink"/>
            <w:noProof/>
          </w:rPr>
          <w:t>Proposal 1</w:t>
        </w:r>
        <w:r w:rsidR="002455D5">
          <w:rPr>
            <w:rFonts w:asciiTheme="minorHAnsi" w:eastAsiaTheme="minorEastAsia" w:hAnsiTheme="minorHAnsi" w:cstheme="minorBidi"/>
            <w:b w:val="0"/>
            <w:noProof/>
            <w:sz w:val="22"/>
            <w:szCs w:val="22"/>
            <w:lang w:val="en-US" w:eastAsia="en-US"/>
          </w:rPr>
          <w:tab/>
        </w:r>
        <w:r w:rsidR="002455D5" w:rsidRPr="007C0E1D">
          <w:rPr>
            <w:rStyle w:val="Hyperlink"/>
            <w:noProof/>
          </w:rPr>
          <w:t>Dual-layer DL reception is not supported by non-BL UEs using enhanced coverage functionality, since using more than one layer is only beneficial and feasible for SNRs significantly higher (&gt;&gt; 1 = 0dB) than what is targeted by CE Mode A for non-BL UEs.</w:t>
        </w:r>
      </w:hyperlink>
    </w:p>
    <w:p w14:paraId="78FEA91C" w14:textId="4010DB84" w:rsidR="002455D5" w:rsidRDefault="002455D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0266" w:history="1">
        <w:r w:rsidRPr="007C0E1D">
          <w:rPr>
            <w:rStyle w:val="Hyperlink"/>
            <w:noProof/>
          </w:rPr>
          <w:t>Proposal 2</w:t>
        </w:r>
        <w:r>
          <w:rPr>
            <w:rFonts w:asciiTheme="minorHAnsi" w:eastAsiaTheme="minorEastAsia" w:hAnsiTheme="minorHAnsi" w:cstheme="minorBidi"/>
            <w:b w:val="0"/>
            <w:noProof/>
            <w:sz w:val="22"/>
            <w:szCs w:val="22"/>
            <w:lang w:val="en-US" w:eastAsia="en-US"/>
          </w:rPr>
          <w:tab/>
        </w:r>
        <w:r w:rsidRPr="007C0E1D">
          <w:rPr>
            <w:rStyle w:val="Hyperlink"/>
            <w:noProof/>
          </w:rPr>
          <w:t>The potential benefits of using feedback based on CSI-RS for beamforming-based transmission at SNR levels associated with enhanced coverage shall be evaluated (e.g., in terms of improving the selection of the correct precoder).</w:t>
        </w:r>
      </w:hyperlink>
    </w:p>
    <w:p w14:paraId="5A1EB9E8" w14:textId="70413299"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9" w:name="_In-sequence_SDU_delivery"/>
      <w:bookmarkEnd w:id="9"/>
      <w:r w:rsidRPr="00CE0424">
        <w:t>References</w:t>
      </w:r>
    </w:p>
    <w:p w14:paraId="29133899" w14:textId="3D39A43F" w:rsidR="008D47D4" w:rsidRDefault="008D47D4" w:rsidP="008D47D4">
      <w:pPr>
        <w:pStyle w:val="Reference"/>
        <w:numPr>
          <w:ilvl w:val="0"/>
          <w:numId w:val="32"/>
        </w:numPr>
      </w:pPr>
      <w:bookmarkStart w:id="10" w:name="_Ref525889416"/>
      <w:r>
        <w:t xml:space="preserve">RP-181878, “Additional MTC enhancements for LTE”, Ericsson, RAN #81, </w:t>
      </w:r>
      <w:r w:rsidRPr="008D47D4">
        <w:t>Gold Coast, Australia</w:t>
      </w:r>
      <w:r>
        <w:t>, Sept 10-13, 2018</w:t>
      </w:r>
      <w:bookmarkEnd w:id="10"/>
      <w:r>
        <w:t>.</w:t>
      </w:r>
    </w:p>
    <w:p w14:paraId="675ED61B" w14:textId="7B3BCD5A" w:rsidR="00960891" w:rsidRDefault="00960891" w:rsidP="00D2578C">
      <w:pPr>
        <w:pStyle w:val="Reference"/>
        <w:numPr>
          <w:ilvl w:val="0"/>
          <w:numId w:val="32"/>
        </w:numPr>
      </w:pPr>
      <w:r>
        <w:t>R1-18xxxxx, “</w:t>
      </w:r>
      <w:r w:rsidR="00D2578C" w:rsidRPr="00960891">
        <w:t>Chairman’s notes of AI 6.2.1 Additional MTC Enhancements</w:t>
      </w:r>
      <w:r w:rsidR="00D2578C">
        <w:t xml:space="preserve">,” RAN1 #94, </w:t>
      </w:r>
      <w:r w:rsidR="00D2578C" w:rsidRPr="00D2578C">
        <w:t>Gothenburg, Sweden, August 20th – 24th 2018</w:t>
      </w:r>
      <w:r w:rsidR="00D2578C">
        <w:t>.</w:t>
      </w:r>
    </w:p>
    <w:p w14:paraId="61F23A09" w14:textId="0DA1CB47" w:rsidR="00124406" w:rsidRDefault="00960891" w:rsidP="00124406">
      <w:pPr>
        <w:pStyle w:val="Reference"/>
        <w:numPr>
          <w:ilvl w:val="0"/>
          <w:numId w:val="32"/>
        </w:numPr>
      </w:pPr>
      <w:r>
        <w:t>R1-18xxxxx, “</w:t>
      </w:r>
      <w:r w:rsidRPr="00960891">
        <w:t>Chairman’s notes of AI 6.2.1 Additional MTC Enhancements</w:t>
      </w:r>
      <w:r>
        <w:t xml:space="preserve">,” RAN1 #94bis, </w:t>
      </w:r>
      <w:r w:rsidR="007E3E93" w:rsidRPr="007E3E93">
        <w:t>Chengdu, People's Republic of China, October 8th – 12th 2018</w:t>
      </w:r>
      <w:r w:rsidR="007E3E93">
        <w:t>.</w:t>
      </w:r>
      <w:r w:rsidR="00124406" w:rsidRPr="00124406">
        <w:t xml:space="preserve"> </w:t>
      </w:r>
    </w:p>
    <w:p w14:paraId="1A03A217" w14:textId="41ECD5B8" w:rsidR="00960891" w:rsidRDefault="00124406" w:rsidP="00124406">
      <w:pPr>
        <w:pStyle w:val="Reference"/>
        <w:numPr>
          <w:ilvl w:val="0"/>
          <w:numId w:val="32"/>
        </w:numPr>
      </w:pPr>
      <w:r>
        <w:t>Technical Specification 36.300, Evolved Universal Terrestrial Radio Access (E-UTRA) and Evolved Universal Terrestrial Radio Access Network (E-UTRAN); Overall description; Stage 2.</w:t>
      </w:r>
    </w:p>
    <w:p w14:paraId="5703EBBE" w14:textId="04D73342" w:rsidR="00D97816" w:rsidRDefault="00167B49" w:rsidP="00167B49">
      <w:pPr>
        <w:pStyle w:val="Reference"/>
        <w:numPr>
          <w:ilvl w:val="0"/>
          <w:numId w:val="32"/>
        </w:numPr>
        <w:textAlignment w:val="auto"/>
      </w:pPr>
      <w:r>
        <w:t>R1-1810191, “</w:t>
      </w:r>
      <w:r w:rsidRPr="00167B49">
        <w:t>CE mode A and B improvements for LTE-MTC non-BL UEs</w:t>
      </w:r>
      <w:r>
        <w:t xml:space="preserve">,” RAN1 #94bis, </w:t>
      </w:r>
      <w:r w:rsidRPr="007E3E93">
        <w:t>Chengdu, People's Republic of China, October 8th – 12th 2018</w:t>
      </w:r>
      <w:r>
        <w:t>.</w:t>
      </w:r>
    </w:p>
    <w:p w14:paraId="3C72D50C" w14:textId="35CFBD20" w:rsidR="00167B49" w:rsidRDefault="00167B49" w:rsidP="00167B49">
      <w:pPr>
        <w:pStyle w:val="Reference"/>
        <w:numPr>
          <w:ilvl w:val="0"/>
          <w:numId w:val="32"/>
        </w:numPr>
        <w:textAlignment w:val="auto"/>
      </w:pPr>
      <w:r>
        <w:t>R1-1810920, “</w:t>
      </w:r>
      <w:r w:rsidRPr="00167B49">
        <w:t xml:space="preserve">CE Mode A </w:t>
      </w:r>
      <w:r w:rsidR="00124406">
        <w:t>and B improvements for non-BL UE</w:t>
      </w:r>
      <w:r w:rsidRPr="00167B49">
        <w:t>s</w:t>
      </w:r>
      <w:r>
        <w:t xml:space="preserve">,” RAN1 #94bis, </w:t>
      </w:r>
      <w:r w:rsidRPr="007E3E93">
        <w:t>Chengdu, People's Republic of China, October 8th – 12th 2018</w:t>
      </w:r>
      <w:r>
        <w:t>.</w:t>
      </w:r>
    </w:p>
    <w:p w14:paraId="7D9757D4" w14:textId="12718371" w:rsidR="00124406" w:rsidRDefault="00124406" w:rsidP="00124406">
      <w:pPr>
        <w:pStyle w:val="Reference"/>
        <w:numPr>
          <w:ilvl w:val="0"/>
          <w:numId w:val="32"/>
        </w:numPr>
        <w:textAlignment w:val="auto"/>
      </w:pPr>
      <w:r>
        <w:t xml:space="preserve">Technical Specification 36.213, </w:t>
      </w:r>
      <w:r w:rsidRPr="00124406">
        <w:t>Evolved Universal Terrestrial Radio Access (E-UTRA); Physical layer procedures</w:t>
      </w:r>
      <w:r>
        <w:t>.</w:t>
      </w:r>
    </w:p>
    <w:p w14:paraId="512EAF55" w14:textId="070927D9" w:rsidR="0004465C" w:rsidRDefault="0004465C" w:rsidP="0004465C">
      <w:pPr>
        <w:pStyle w:val="Reference"/>
        <w:numPr>
          <w:ilvl w:val="0"/>
          <w:numId w:val="0"/>
        </w:numPr>
        <w:ind w:left="567" w:hanging="567"/>
        <w:textAlignment w:val="auto"/>
      </w:pPr>
    </w:p>
    <w:p w14:paraId="054A6CC1" w14:textId="133ACF14" w:rsidR="0004465C" w:rsidRDefault="0004465C" w:rsidP="0004465C">
      <w:pPr>
        <w:pStyle w:val="Reference"/>
        <w:numPr>
          <w:ilvl w:val="0"/>
          <w:numId w:val="0"/>
        </w:numPr>
        <w:ind w:left="567" w:hanging="567"/>
        <w:textAlignment w:val="auto"/>
      </w:pPr>
    </w:p>
    <w:p w14:paraId="5226F720" w14:textId="3BE35DB1" w:rsidR="0004465C" w:rsidRDefault="0004465C" w:rsidP="0004465C">
      <w:pPr>
        <w:pStyle w:val="Reference"/>
        <w:numPr>
          <w:ilvl w:val="0"/>
          <w:numId w:val="0"/>
        </w:numPr>
        <w:ind w:left="567" w:hanging="567"/>
        <w:textAlignment w:val="auto"/>
      </w:pPr>
    </w:p>
    <w:p w14:paraId="1C8E2BB1" w14:textId="152ED75B" w:rsidR="0004465C" w:rsidRDefault="0004465C" w:rsidP="0004465C">
      <w:pPr>
        <w:pStyle w:val="Reference"/>
        <w:numPr>
          <w:ilvl w:val="0"/>
          <w:numId w:val="0"/>
        </w:numPr>
        <w:ind w:left="567" w:hanging="567"/>
        <w:textAlignment w:val="auto"/>
      </w:pPr>
    </w:p>
    <w:p w14:paraId="41087E6C" w14:textId="7DE6D032" w:rsidR="0004465C" w:rsidRDefault="0004465C" w:rsidP="0004465C">
      <w:pPr>
        <w:pStyle w:val="Reference"/>
        <w:numPr>
          <w:ilvl w:val="0"/>
          <w:numId w:val="0"/>
        </w:numPr>
        <w:ind w:left="567" w:hanging="567"/>
        <w:textAlignment w:val="auto"/>
      </w:pPr>
    </w:p>
    <w:p w14:paraId="1ACDFBA3" w14:textId="6B3B5E39" w:rsidR="0004465C" w:rsidRDefault="0004465C" w:rsidP="0004465C">
      <w:pPr>
        <w:pStyle w:val="Reference"/>
        <w:numPr>
          <w:ilvl w:val="0"/>
          <w:numId w:val="0"/>
        </w:numPr>
        <w:ind w:left="567" w:hanging="567"/>
        <w:textAlignment w:val="auto"/>
      </w:pPr>
    </w:p>
    <w:p w14:paraId="5F9AB1E2" w14:textId="4CA70AA2" w:rsidR="0004465C" w:rsidRDefault="0004465C" w:rsidP="0004465C">
      <w:pPr>
        <w:pStyle w:val="Reference"/>
        <w:numPr>
          <w:ilvl w:val="0"/>
          <w:numId w:val="0"/>
        </w:numPr>
        <w:ind w:left="567" w:hanging="567"/>
        <w:textAlignment w:val="auto"/>
      </w:pPr>
    </w:p>
    <w:p w14:paraId="3F4FD965" w14:textId="7553CAC9" w:rsidR="0004465C" w:rsidRDefault="0004465C" w:rsidP="0004465C">
      <w:pPr>
        <w:pStyle w:val="Reference"/>
        <w:numPr>
          <w:ilvl w:val="0"/>
          <w:numId w:val="0"/>
        </w:numPr>
        <w:ind w:left="567" w:hanging="567"/>
        <w:textAlignment w:val="auto"/>
      </w:pPr>
    </w:p>
    <w:p w14:paraId="2A976BB8" w14:textId="0E0C3E80" w:rsidR="0004465C" w:rsidRDefault="0004465C" w:rsidP="0004465C">
      <w:pPr>
        <w:pStyle w:val="Reference"/>
        <w:numPr>
          <w:ilvl w:val="0"/>
          <w:numId w:val="0"/>
        </w:numPr>
        <w:ind w:left="567" w:hanging="567"/>
        <w:textAlignment w:val="auto"/>
      </w:pPr>
    </w:p>
    <w:p w14:paraId="06C66103" w14:textId="03845F86" w:rsidR="0004465C" w:rsidRDefault="0004465C" w:rsidP="0004465C">
      <w:pPr>
        <w:pStyle w:val="Reference"/>
        <w:numPr>
          <w:ilvl w:val="0"/>
          <w:numId w:val="0"/>
        </w:numPr>
        <w:ind w:left="567" w:hanging="567"/>
        <w:textAlignment w:val="auto"/>
      </w:pPr>
    </w:p>
    <w:p w14:paraId="08514A56" w14:textId="319D70A0" w:rsidR="0004465C" w:rsidRDefault="0004465C" w:rsidP="0004465C">
      <w:pPr>
        <w:pStyle w:val="Reference"/>
        <w:numPr>
          <w:ilvl w:val="0"/>
          <w:numId w:val="0"/>
        </w:numPr>
        <w:ind w:left="567" w:hanging="567"/>
        <w:textAlignment w:val="auto"/>
      </w:pPr>
    </w:p>
    <w:p w14:paraId="341FC02D" w14:textId="617FB970" w:rsidR="0004465C" w:rsidRDefault="0004465C" w:rsidP="00124406">
      <w:pPr>
        <w:pStyle w:val="Reference"/>
        <w:numPr>
          <w:ilvl w:val="0"/>
          <w:numId w:val="0"/>
        </w:numPr>
        <w:textAlignment w:val="auto"/>
      </w:pPr>
    </w:p>
    <w:sectPr w:rsidR="0004465C" w:rsidSect="00C473A5">
      <w:headerReference w:type="even" r:id="rId49"/>
      <w:footerReference w:type="default" r:id="rId5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987B8" w14:textId="77777777" w:rsidR="002E13A5" w:rsidRDefault="002E13A5">
      <w:r>
        <w:separator/>
      </w:r>
    </w:p>
  </w:endnote>
  <w:endnote w:type="continuationSeparator" w:id="0">
    <w:p w14:paraId="1C17261F" w14:textId="77777777" w:rsidR="002E13A5" w:rsidRDefault="002E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E3E93" w:rsidRDefault="007E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7B373" w14:textId="77777777" w:rsidR="002E13A5" w:rsidRDefault="002E13A5">
      <w:r>
        <w:separator/>
      </w:r>
    </w:p>
  </w:footnote>
  <w:footnote w:type="continuationSeparator" w:id="0">
    <w:p w14:paraId="55F3E424" w14:textId="77777777" w:rsidR="002E13A5" w:rsidRDefault="002E1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E3E93" w:rsidRDefault="007E3E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ED3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CD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9CDAF2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1"/>
  </w:num>
  <w:num w:numId="6">
    <w:abstractNumId w:val="20"/>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4"/>
  </w:num>
  <w:num w:numId="15">
    <w:abstractNumId w:val="16"/>
  </w:num>
  <w:num w:numId="16">
    <w:abstractNumId w:val="26"/>
  </w:num>
  <w:num w:numId="17">
    <w:abstractNumId w:val="7"/>
  </w:num>
  <w:num w:numId="18">
    <w:abstractNumId w:val="9"/>
  </w:num>
  <w:num w:numId="19">
    <w:abstractNumId w:val="6"/>
  </w:num>
  <w:num w:numId="20">
    <w:abstractNumId w:val="31"/>
  </w:num>
  <w:num w:numId="21">
    <w:abstractNumId w:val="13"/>
  </w:num>
  <w:num w:numId="22">
    <w:abstractNumId w:val="28"/>
  </w:num>
  <w:num w:numId="23">
    <w:abstractNumId w:val="5"/>
  </w:num>
  <w:num w:numId="24">
    <w:abstractNumId w:val="17"/>
  </w:num>
  <w:num w:numId="25">
    <w:abstractNumId w:val="23"/>
  </w:num>
  <w:num w:numId="26">
    <w:abstractNumId w:val="19"/>
  </w:num>
  <w:num w:numId="27">
    <w:abstractNumId w:val="29"/>
  </w:num>
  <w:num w:numId="28">
    <w:abstractNumId w:val="27"/>
  </w:num>
  <w:num w:numId="29">
    <w:abstractNumId w:val="30"/>
  </w:num>
  <w:num w:numId="30">
    <w:abstractNumId w:val="4"/>
  </w:num>
  <w:num w:numId="31">
    <w:abstractNumId w:val="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1CD6"/>
    <w:rsid w:val="000422E2"/>
    <w:rsid w:val="00042F22"/>
    <w:rsid w:val="000444EF"/>
    <w:rsid w:val="0004465C"/>
    <w:rsid w:val="00052A07"/>
    <w:rsid w:val="000534E3"/>
    <w:rsid w:val="0005606A"/>
    <w:rsid w:val="00057117"/>
    <w:rsid w:val="00057C29"/>
    <w:rsid w:val="000616E7"/>
    <w:rsid w:val="0006487E"/>
    <w:rsid w:val="00065E1A"/>
    <w:rsid w:val="00067F7D"/>
    <w:rsid w:val="00077E5F"/>
    <w:rsid w:val="0008036A"/>
    <w:rsid w:val="00081AE6"/>
    <w:rsid w:val="000855EB"/>
    <w:rsid w:val="00085B52"/>
    <w:rsid w:val="000866F2"/>
    <w:rsid w:val="0009009F"/>
    <w:rsid w:val="00091557"/>
    <w:rsid w:val="000924C1"/>
    <w:rsid w:val="000924F0"/>
    <w:rsid w:val="00092F85"/>
    <w:rsid w:val="00093474"/>
    <w:rsid w:val="0009366E"/>
    <w:rsid w:val="0009510F"/>
    <w:rsid w:val="0009733A"/>
    <w:rsid w:val="000A01C9"/>
    <w:rsid w:val="000A108E"/>
    <w:rsid w:val="000A1B7B"/>
    <w:rsid w:val="000A56F2"/>
    <w:rsid w:val="000A6AD4"/>
    <w:rsid w:val="000B2719"/>
    <w:rsid w:val="000B3A8F"/>
    <w:rsid w:val="000B4AB9"/>
    <w:rsid w:val="000B58C3"/>
    <w:rsid w:val="000B61E9"/>
    <w:rsid w:val="000C165A"/>
    <w:rsid w:val="000C2E19"/>
    <w:rsid w:val="000D0D07"/>
    <w:rsid w:val="000D4797"/>
    <w:rsid w:val="000E0527"/>
    <w:rsid w:val="000E1819"/>
    <w:rsid w:val="000E1E92"/>
    <w:rsid w:val="000F06D6"/>
    <w:rsid w:val="000F0A55"/>
    <w:rsid w:val="000F0EB1"/>
    <w:rsid w:val="000F1106"/>
    <w:rsid w:val="000F3BE9"/>
    <w:rsid w:val="000F3F6C"/>
    <w:rsid w:val="000F6DF3"/>
    <w:rsid w:val="001005FF"/>
    <w:rsid w:val="001062FB"/>
    <w:rsid w:val="001063E6"/>
    <w:rsid w:val="00113CF4"/>
    <w:rsid w:val="001153EA"/>
    <w:rsid w:val="00115643"/>
    <w:rsid w:val="00116765"/>
    <w:rsid w:val="001170AA"/>
    <w:rsid w:val="001219F5"/>
    <w:rsid w:val="00121A20"/>
    <w:rsid w:val="00121B71"/>
    <w:rsid w:val="0012377F"/>
    <w:rsid w:val="00124314"/>
    <w:rsid w:val="00124406"/>
    <w:rsid w:val="00126B4A"/>
    <w:rsid w:val="00132FD0"/>
    <w:rsid w:val="001344C0"/>
    <w:rsid w:val="001346FA"/>
    <w:rsid w:val="00135252"/>
    <w:rsid w:val="00137A28"/>
    <w:rsid w:val="00137AB5"/>
    <w:rsid w:val="00137F0B"/>
    <w:rsid w:val="00151E23"/>
    <w:rsid w:val="001526E0"/>
    <w:rsid w:val="001551B5"/>
    <w:rsid w:val="001561F0"/>
    <w:rsid w:val="001659C1"/>
    <w:rsid w:val="00167B49"/>
    <w:rsid w:val="00173A8E"/>
    <w:rsid w:val="0017502C"/>
    <w:rsid w:val="0018143F"/>
    <w:rsid w:val="00181FF8"/>
    <w:rsid w:val="00182568"/>
    <w:rsid w:val="001851D6"/>
    <w:rsid w:val="00190AC1"/>
    <w:rsid w:val="0019341A"/>
    <w:rsid w:val="00197DF9"/>
    <w:rsid w:val="001A1987"/>
    <w:rsid w:val="001A2564"/>
    <w:rsid w:val="001A6173"/>
    <w:rsid w:val="001A6CBA"/>
    <w:rsid w:val="001B0D97"/>
    <w:rsid w:val="001B5A5D"/>
    <w:rsid w:val="001B66E5"/>
    <w:rsid w:val="001C1CE5"/>
    <w:rsid w:val="001C3D2A"/>
    <w:rsid w:val="001C4151"/>
    <w:rsid w:val="001C6964"/>
    <w:rsid w:val="001D51BA"/>
    <w:rsid w:val="001D53E7"/>
    <w:rsid w:val="001D5B2C"/>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1907"/>
    <w:rsid w:val="00214DA8"/>
    <w:rsid w:val="00215423"/>
    <w:rsid w:val="002158FA"/>
    <w:rsid w:val="00220600"/>
    <w:rsid w:val="00221D68"/>
    <w:rsid w:val="002224DB"/>
    <w:rsid w:val="00223BEF"/>
    <w:rsid w:val="00223FCB"/>
    <w:rsid w:val="002252C3"/>
    <w:rsid w:val="00225C54"/>
    <w:rsid w:val="00226554"/>
    <w:rsid w:val="00230765"/>
    <w:rsid w:val="00230CC4"/>
    <w:rsid w:val="00230D18"/>
    <w:rsid w:val="002319E4"/>
    <w:rsid w:val="00233704"/>
    <w:rsid w:val="00235632"/>
    <w:rsid w:val="00235872"/>
    <w:rsid w:val="00241559"/>
    <w:rsid w:val="002435B3"/>
    <w:rsid w:val="002455D5"/>
    <w:rsid w:val="002458EB"/>
    <w:rsid w:val="00246039"/>
    <w:rsid w:val="00246E08"/>
    <w:rsid w:val="002500C8"/>
    <w:rsid w:val="002519FD"/>
    <w:rsid w:val="00254F0C"/>
    <w:rsid w:val="0025705C"/>
    <w:rsid w:val="00257543"/>
    <w:rsid w:val="002577FB"/>
    <w:rsid w:val="002617E7"/>
    <w:rsid w:val="00264228"/>
    <w:rsid w:val="00264334"/>
    <w:rsid w:val="0026473E"/>
    <w:rsid w:val="00266214"/>
    <w:rsid w:val="00267C83"/>
    <w:rsid w:val="0027144F"/>
    <w:rsid w:val="00271813"/>
    <w:rsid w:val="00271F3A"/>
    <w:rsid w:val="0027302B"/>
    <w:rsid w:val="00273278"/>
    <w:rsid w:val="002737F4"/>
    <w:rsid w:val="002805F5"/>
    <w:rsid w:val="00280751"/>
    <w:rsid w:val="0028280A"/>
    <w:rsid w:val="00282EF7"/>
    <w:rsid w:val="00283A25"/>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16C0"/>
    <w:rsid w:val="002D34B2"/>
    <w:rsid w:val="002D48B0"/>
    <w:rsid w:val="002D5B37"/>
    <w:rsid w:val="002D7637"/>
    <w:rsid w:val="002E13A5"/>
    <w:rsid w:val="002E17F2"/>
    <w:rsid w:val="002E6052"/>
    <w:rsid w:val="002E7CAE"/>
    <w:rsid w:val="002F2771"/>
    <w:rsid w:val="002F37A9"/>
    <w:rsid w:val="00301CE6"/>
    <w:rsid w:val="0030256B"/>
    <w:rsid w:val="0030501F"/>
    <w:rsid w:val="00305087"/>
    <w:rsid w:val="00307BA1"/>
    <w:rsid w:val="00311702"/>
    <w:rsid w:val="00311E82"/>
    <w:rsid w:val="0031218A"/>
    <w:rsid w:val="00313FD6"/>
    <w:rsid w:val="003143BD"/>
    <w:rsid w:val="00314A33"/>
    <w:rsid w:val="00315363"/>
    <w:rsid w:val="00315663"/>
    <w:rsid w:val="00316A6C"/>
    <w:rsid w:val="003203ED"/>
    <w:rsid w:val="00322C9F"/>
    <w:rsid w:val="00324D23"/>
    <w:rsid w:val="00331751"/>
    <w:rsid w:val="00334579"/>
    <w:rsid w:val="00335858"/>
    <w:rsid w:val="00336BDA"/>
    <w:rsid w:val="00337BF6"/>
    <w:rsid w:val="00342BD7"/>
    <w:rsid w:val="00343A7B"/>
    <w:rsid w:val="00346DB5"/>
    <w:rsid w:val="003477B1"/>
    <w:rsid w:val="00357380"/>
    <w:rsid w:val="003602D9"/>
    <w:rsid w:val="003604CE"/>
    <w:rsid w:val="00361C50"/>
    <w:rsid w:val="0036333D"/>
    <w:rsid w:val="00370E47"/>
    <w:rsid w:val="003742AC"/>
    <w:rsid w:val="00376D38"/>
    <w:rsid w:val="00377CE1"/>
    <w:rsid w:val="00385BF0"/>
    <w:rsid w:val="003861E1"/>
    <w:rsid w:val="003939FF"/>
    <w:rsid w:val="003A2223"/>
    <w:rsid w:val="003A2A0F"/>
    <w:rsid w:val="003A45A1"/>
    <w:rsid w:val="003A5341"/>
    <w:rsid w:val="003A5B0A"/>
    <w:rsid w:val="003A6BAC"/>
    <w:rsid w:val="003A70A4"/>
    <w:rsid w:val="003A7EF3"/>
    <w:rsid w:val="003B0DDC"/>
    <w:rsid w:val="003B159C"/>
    <w:rsid w:val="003B369F"/>
    <w:rsid w:val="003B36A3"/>
    <w:rsid w:val="003B644A"/>
    <w:rsid w:val="003B64BB"/>
    <w:rsid w:val="003B7475"/>
    <w:rsid w:val="003B7FE5"/>
    <w:rsid w:val="003C11C8"/>
    <w:rsid w:val="003C2702"/>
    <w:rsid w:val="003C3542"/>
    <w:rsid w:val="003C3A0A"/>
    <w:rsid w:val="003C7806"/>
    <w:rsid w:val="003D109F"/>
    <w:rsid w:val="003D2478"/>
    <w:rsid w:val="003D3C45"/>
    <w:rsid w:val="003D5B1F"/>
    <w:rsid w:val="003D5C41"/>
    <w:rsid w:val="003E03B9"/>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B72"/>
    <w:rsid w:val="00410F18"/>
    <w:rsid w:val="0041263E"/>
    <w:rsid w:val="004133DB"/>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FAF"/>
    <w:rsid w:val="004669E2"/>
    <w:rsid w:val="00470C31"/>
    <w:rsid w:val="00471DE0"/>
    <w:rsid w:val="004734D0"/>
    <w:rsid w:val="0047556B"/>
    <w:rsid w:val="00477768"/>
    <w:rsid w:val="00480415"/>
    <w:rsid w:val="00492BC5"/>
    <w:rsid w:val="004964F1"/>
    <w:rsid w:val="004A16BC"/>
    <w:rsid w:val="004A234D"/>
    <w:rsid w:val="004A2B94"/>
    <w:rsid w:val="004B5F77"/>
    <w:rsid w:val="004B6F6A"/>
    <w:rsid w:val="004B7C0C"/>
    <w:rsid w:val="004C3898"/>
    <w:rsid w:val="004D36B1"/>
    <w:rsid w:val="004D6007"/>
    <w:rsid w:val="004D75CB"/>
    <w:rsid w:val="004D7EBD"/>
    <w:rsid w:val="004E065F"/>
    <w:rsid w:val="004E2680"/>
    <w:rsid w:val="004E28F9"/>
    <w:rsid w:val="004E462E"/>
    <w:rsid w:val="004E56DC"/>
    <w:rsid w:val="004E76F4"/>
    <w:rsid w:val="004E7C1A"/>
    <w:rsid w:val="004F0B4E"/>
    <w:rsid w:val="004F0B6C"/>
    <w:rsid w:val="004F2078"/>
    <w:rsid w:val="004F46F5"/>
    <w:rsid w:val="004F4DA3"/>
    <w:rsid w:val="00501D63"/>
    <w:rsid w:val="00506557"/>
    <w:rsid w:val="0050677A"/>
    <w:rsid w:val="005108D8"/>
    <w:rsid w:val="00511525"/>
    <w:rsid w:val="005116F9"/>
    <w:rsid w:val="005153A7"/>
    <w:rsid w:val="005219CF"/>
    <w:rsid w:val="00534B59"/>
    <w:rsid w:val="00534BF3"/>
    <w:rsid w:val="00536759"/>
    <w:rsid w:val="00537C62"/>
    <w:rsid w:val="00546970"/>
    <w:rsid w:val="00553013"/>
    <w:rsid w:val="00554E19"/>
    <w:rsid w:val="0056121F"/>
    <w:rsid w:val="00566927"/>
    <w:rsid w:val="0056723A"/>
    <w:rsid w:val="00571766"/>
    <w:rsid w:val="00572505"/>
    <w:rsid w:val="00582809"/>
    <w:rsid w:val="005835BE"/>
    <w:rsid w:val="00583E33"/>
    <w:rsid w:val="00586CF6"/>
    <w:rsid w:val="0058798C"/>
    <w:rsid w:val="005900FA"/>
    <w:rsid w:val="005935A4"/>
    <w:rsid w:val="005948C2"/>
    <w:rsid w:val="00595DCA"/>
    <w:rsid w:val="00595EF1"/>
    <w:rsid w:val="0059779B"/>
    <w:rsid w:val="005A209A"/>
    <w:rsid w:val="005A662D"/>
    <w:rsid w:val="005B1409"/>
    <w:rsid w:val="005B35D7"/>
    <w:rsid w:val="005B392A"/>
    <w:rsid w:val="005B3AA3"/>
    <w:rsid w:val="005B6F83"/>
    <w:rsid w:val="005B7517"/>
    <w:rsid w:val="005C74FB"/>
    <w:rsid w:val="005D1602"/>
    <w:rsid w:val="005D1AEF"/>
    <w:rsid w:val="005D2172"/>
    <w:rsid w:val="005E1547"/>
    <w:rsid w:val="005E385F"/>
    <w:rsid w:val="005E5B81"/>
    <w:rsid w:val="005F18C5"/>
    <w:rsid w:val="005F2CB1"/>
    <w:rsid w:val="005F3025"/>
    <w:rsid w:val="005F618C"/>
    <w:rsid w:val="005F70BD"/>
    <w:rsid w:val="0060283C"/>
    <w:rsid w:val="00602FA7"/>
    <w:rsid w:val="00602FE4"/>
    <w:rsid w:val="00604F14"/>
    <w:rsid w:val="0061007D"/>
    <w:rsid w:val="00611B83"/>
    <w:rsid w:val="006131B9"/>
    <w:rsid w:val="00613257"/>
    <w:rsid w:val="00620A71"/>
    <w:rsid w:val="00620D80"/>
    <w:rsid w:val="006210F1"/>
    <w:rsid w:val="006234A6"/>
    <w:rsid w:val="00630001"/>
    <w:rsid w:val="00630F29"/>
    <w:rsid w:val="006311B3"/>
    <w:rsid w:val="0063284C"/>
    <w:rsid w:val="00636398"/>
    <w:rsid w:val="006368D3"/>
    <w:rsid w:val="00636BFD"/>
    <w:rsid w:val="006377EC"/>
    <w:rsid w:val="0064151F"/>
    <w:rsid w:val="00641533"/>
    <w:rsid w:val="0064208D"/>
    <w:rsid w:val="00643475"/>
    <w:rsid w:val="0064396A"/>
    <w:rsid w:val="0064624E"/>
    <w:rsid w:val="006502C4"/>
    <w:rsid w:val="00650AB9"/>
    <w:rsid w:val="0065160A"/>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1003"/>
    <w:rsid w:val="006817C9"/>
    <w:rsid w:val="00683ECE"/>
    <w:rsid w:val="00690B63"/>
    <w:rsid w:val="006912B6"/>
    <w:rsid w:val="0069408A"/>
    <w:rsid w:val="00695FC2"/>
    <w:rsid w:val="00696949"/>
    <w:rsid w:val="00697052"/>
    <w:rsid w:val="006A08C6"/>
    <w:rsid w:val="006A46FB"/>
    <w:rsid w:val="006A5E28"/>
    <w:rsid w:val="006A697B"/>
    <w:rsid w:val="006A7AFF"/>
    <w:rsid w:val="006B0E92"/>
    <w:rsid w:val="006B1816"/>
    <w:rsid w:val="006B2099"/>
    <w:rsid w:val="006B50CF"/>
    <w:rsid w:val="006C03B8"/>
    <w:rsid w:val="006C5EC9"/>
    <w:rsid w:val="006C6059"/>
    <w:rsid w:val="006C7522"/>
    <w:rsid w:val="006D13BC"/>
    <w:rsid w:val="006D17E0"/>
    <w:rsid w:val="006D335B"/>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346E"/>
    <w:rsid w:val="00704EDB"/>
    <w:rsid w:val="00705DAC"/>
    <w:rsid w:val="00705F15"/>
    <w:rsid w:val="00706101"/>
    <w:rsid w:val="00707072"/>
    <w:rsid w:val="00707D61"/>
    <w:rsid w:val="007114A2"/>
    <w:rsid w:val="00712287"/>
    <w:rsid w:val="00712772"/>
    <w:rsid w:val="007148D3"/>
    <w:rsid w:val="00714EA4"/>
    <w:rsid w:val="00715B9A"/>
    <w:rsid w:val="007164F6"/>
    <w:rsid w:val="007257D0"/>
    <w:rsid w:val="00726EA6"/>
    <w:rsid w:val="00727208"/>
    <w:rsid w:val="00727680"/>
    <w:rsid w:val="00732879"/>
    <w:rsid w:val="007348B1"/>
    <w:rsid w:val="00735EAB"/>
    <w:rsid w:val="007362A6"/>
    <w:rsid w:val="00736956"/>
    <w:rsid w:val="00736D7D"/>
    <w:rsid w:val="00740E58"/>
    <w:rsid w:val="007445A0"/>
    <w:rsid w:val="0074524B"/>
    <w:rsid w:val="00747D8B"/>
    <w:rsid w:val="00751228"/>
    <w:rsid w:val="00756D38"/>
    <w:rsid w:val="007571E1"/>
    <w:rsid w:val="007604B2"/>
    <w:rsid w:val="00765281"/>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68B"/>
    <w:rsid w:val="00795C92"/>
    <w:rsid w:val="00796231"/>
    <w:rsid w:val="007A152E"/>
    <w:rsid w:val="007A1CB3"/>
    <w:rsid w:val="007A299D"/>
    <w:rsid w:val="007A306F"/>
    <w:rsid w:val="007A43A6"/>
    <w:rsid w:val="007A58A6"/>
    <w:rsid w:val="007B3D2D"/>
    <w:rsid w:val="007B50AE"/>
    <w:rsid w:val="007B51DF"/>
    <w:rsid w:val="007B6457"/>
    <w:rsid w:val="007C05DD"/>
    <w:rsid w:val="007C3D18"/>
    <w:rsid w:val="007C60BF"/>
    <w:rsid w:val="007C6A07"/>
    <w:rsid w:val="007C75A1"/>
    <w:rsid w:val="007C77A5"/>
    <w:rsid w:val="007D04E5"/>
    <w:rsid w:val="007D07BA"/>
    <w:rsid w:val="007D5901"/>
    <w:rsid w:val="007D7526"/>
    <w:rsid w:val="007E3E93"/>
    <w:rsid w:val="007E4610"/>
    <w:rsid w:val="007E4715"/>
    <w:rsid w:val="007E505B"/>
    <w:rsid w:val="007E7091"/>
    <w:rsid w:val="00803FAE"/>
    <w:rsid w:val="00805A16"/>
    <w:rsid w:val="0080605F"/>
    <w:rsid w:val="00807786"/>
    <w:rsid w:val="00811778"/>
    <w:rsid w:val="00811FCB"/>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1E53"/>
    <w:rsid w:val="00856911"/>
    <w:rsid w:val="008677FD"/>
    <w:rsid w:val="008706D4"/>
    <w:rsid w:val="0087083E"/>
    <w:rsid w:val="00870F8A"/>
    <w:rsid w:val="008719A4"/>
    <w:rsid w:val="00871D23"/>
    <w:rsid w:val="00874312"/>
    <w:rsid w:val="0087437C"/>
    <w:rsid w:val="00874CF5"/>
    <w:rsid w:val="00875CD7"/>
    <w:rsid w:val="00876B4D"/>
    <w:rsid w:val="00877F18"/>
    <w:rsid w:val="00880AD1"/>
    <w:rsid w:val="00881E90"/>
    <w:rsid w:val="00890400"/>
    <w:rsid w:val="008941E3"/>
    <w:rsid w:val="00894A88"/>
    <w:rsid w:val="00895386"/>
    <w:rsid w:val="008A21FF"/>
    <w:rsid w:val="008A2CE2"/>
    <w:rsid w:val="008A30AC"/>
    <w:rsid w:val="008A44B8"/>
    <w:rsid w:val="008A51A8"/>
    <w:rsid w:val="008A54C7"/>
    <w:rsid w:val="008A77D8"/>
    <w:rsid w:val="008B0483"/>
    <w:rsid w:val="008B120C"/>
    <w:rsid w:val="008B16B7"/>
    <w:rsid w:val="008B252B"/>
    <w:rsid w:val="008B51A0"/>
    <w:rsid w:val="008B57D0"/>
    <w:rsid w:val="008B592A"/>
    <w:rsid w:val="008B7B5C"/>
    <w:rsid w:val="008C046E"/>
    <w:rsid w:val="008C0C99"/>
    <w:rsid w:val="008C2017"/>
    <w:rsid w:val="008C4958"/>
    <w:rsid w:val="008C4BAA"/>
    <w:rsid w:val="008C6AE8"/>
    <w:rsid w:val="008C7573"/>
    <w:rsid w:val="008D00A5"/>
    <w:rsid w:val="008D1B49"/>
    <w:rsid w:val="008D34F1"/>
    <w:rsid w:val="008D39D8"/>
    <w:rsid w:val="008D47D4"/>
    <w:rsid w:val="008D6D1A"/>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6939"/>
    <w:rsid w:val="0090768A"/>
    <w:rsid w:val="00910B7D"/>
    <w:rsid w:val="009118DB"/>
    <w:rsid w:val="00911DFB"/>
    <w:rsid w:val="009139D9"/>
    <w:rsid w:val="00914AD8"/>
    <w:rsid w:val="00916079"/>
    <w:rsid w:val="00917CE9"/>
    <w:rsid w:val="00920BF2"/>
    <w:rsid w:val="00921721"/>
    <w:rsid w:val="00922010"/>
    <w:rsid w:val="00924396"/>
    <w:rsid w:val="00931BD9"/>
    <w:rsid w:val="0093522A"/>
    <w:rsid w:val="009368F3"/>
    <w:rsid w:val="00940EE1"/>
    <w:rsid w:val="00941636"/>
    <w:rsid w:val="00943742"/>
    <w:rsid w:val="00945C05"/>
    <w:rsid w:val="00946945"/>
    <w:rsid w:val="00947713"/>
    <w:rsid w:val="00950DE7"/>
    <w:rsid w:val="00950EC8"/>
    <w:rsid w:val="00953920"/>
    <w:rsid w:val="00953D47"/>
    <w:rsid w:val="00953ED3"/>
    <w:rsid w:val="0095681E"/>
    <w:rsid w:val="009572D4"/>
    <w:rsid w:val="00960891"/>
    <w:rsid w:val="0096182A"/>
    <w:rsid w:val="00961921"/>
    <w:rsid w:val="0096430A"/>
    <w:rsid w:val="0096554B"/>
    <w:rsid w:val="0096584A"/>
    <w:rsid w:val="009704DA"/>
    <w:rsid w:val="00971F08"/>
    <w:rsid w:val="0097603D"/>
    <w:rsid w:val="00976949"/>
    <w:rsid w:val="00980477"/>
    <w:rsid w:val="0098459D"/>
    <w:rsid w:val="00985253"/>
    <w:rsid w:val="009853B3"/>
    <w:rsid w:val="00990630"/>
    <w:rsid w:val="00991761"/>
    <w:rsid w:val="00994DCA"/>
    <w:rsid w:val="009960EC"/>
    <w:rsid w:val="009970DD"/>
    <w:rsid w:val="009A092B"/>
    <w:rsid w:val="009A0FBA"/>
    <w:rsid w:val="009A100E"/>
    <w:rsid w:val="009A1172"/>
    <w:rsid w:val="009A1601"/>
    <w:rsid w:val="009A2336"/>
    <w:rsid w:val="009A3BB6"/>
    <w:rsid w:val="009A462D"/>
    <w:rsid w:val="009A5CBA"/>
    <w:rsid w:val="009A6ABD"/>
    <w:rsid w:val="009B1D3F"/>
    <w:rsid w:val="009B1F30"/>
    <w:rsid w:val="009B3AC2"/>
    <w:rsid w:val="009B4DF4"/>
    <w:rsid w:val="009B564E"/>
    <w:rsid w:val="009B7765"/>
    <w:rsid w:val="009B7E87"/>
    <w:rsid w:val="009C0169"/>
    <w:rsid w:val="009C403E"/>
    <w:rsid w:val="009D4FF0"/>
    <w:rsid w:val="009D703C"/>
    <w:rsid w:val="009D718F"/>
    <w:rsid w:val="009E068F"/>
    <w:rsid w:val="009E14E0"/>
    <w:rsid w:val="009E35DB"/>
    <w:rsid w:val="009E47A3"/>
    <w:rsid w:val="009F08F3"/>
    <w:rsid w:val="009F344F"/>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46102"/>
    <w:rsid w:val="00A52E1D"/>
    <w:rsid w:val="00A55D6C"/>
    <w:rsid w:val="00A57839"/>
    <w:rsid w:val="00A61499"/>
    <w:rsid w:val="00A619BA"/>
    <w:rsid w:val="00A62A77"/>
    <w:rsid w:val="00A63483"/>
    <w:rsid w:val="00A657D7"/>
    <w:rsid w:val="00A660AC"/>
    <w:rsid w:val="00A67E6C"/>
    <w:rsid w:val="00A704E3"/>
    <w:rsid w:val="00A71B99"/>
    <w:rsid w:val="00A739D0"/>
    <w:rsid w:val="00A761D4"/>
    <w:rsid w:val="00A77EC4"/>
    <w:rsid w:val="00A819FF"/>
    <w:rsid w:val="00A86284"/>
    <w:rsid w:val="00A92879"/>
    <w:rsid w:val="00A9442A"/>
    <w:rsid w:val="00A9766B"/>
    <w:rsid w:val="00AA016F"/>
    <w:rsid w:val="00AA1ED6"/>
    <w:rsid w:val="00AA51D6"/>
    <w:rsid w:val="00AB0597"/>
    <w:rsid w:val="00AB0BC8"/>
    <w:rsid w:val="00AB11CA"/>
    <w:rsid w:val="00AB14D9"/>
    <w:rsid w:val="00AB39D0"/>
    <w:rsid w:val="00AB4AB8"/>
    <w:rsid w:val="00AB655E"/>
    <w:rsid w:val="00AC007F"/>
    <w:rsid w:val="00AC2ECD"/>
    <w:rsid w:val="00AC3119"/>
    <w:rsid w:val="00AC49FB"/>
    <w:rsid w:val="00AC5A10"/>
    <w:rsid w:val="00AD0AA3"/>
    <w:rsid w:val="00AD2ED0"/>
    <w:rsid w:val="00AD3F94"/>
    <w:rsid w:val="00AD4A5A"/>
    <w:rsid w:val="00AE0DB2"/>
    <w:rsid w:val="00AE1DDD"/>
    <w:rsid w:val="00AE27AC"/>
    <w:rsid w:val="00AE3202"/>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B4A"/>
    <w:rsid w:val="00B3359E"/>
    <w:rsid w:val="00B372AA"/>
    <w:rsid w:val="00B40445"/>
    <w:rsid w:val="00B409E0"/>
    <w:rsid w:val="00B41888"/>
    <w:rsid w:val="00B45A52"/>
    <w:rsid w:val="00B460DB"/>
    <w:rsid w:val="00B46175"/>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56D2"/>
    <w:rsid w:val="00BA76E0"/>
    <w:rsid w:val="00BB1B01"/>
    <w:rsid w:val="00BB2A25"/>
    <w:rsid w:val="00BB51E9"/>
    <w:rsid w:val="00BB676F"/>
    <w:rsid w:val="00BC0FDC"/>
    <w:rsid w:val="00BC3053"/>
    <w:rsid w:val="00BC4D2E"/>
    <w:rsid w:val="00BC5DEC"/>
    <w:rsid w:val="00BD287B"/>
    <w:rsid w:val="00BD48AC"/>
    <w:rsid w:val="00BD5F1A"/>
    <w:rsid w:val="00BE1234"/>
    <w:rsid w:val="00BE2FA6"/>
    <w:rsid w:val="00BE333F"/>
    <w:rsid w:val="00BE6D0C"/>
    <w:rsid w:val="00BE7406"/>
    <w:rsid w:val="00BE7603"/>
    <w:rsid w:val="00BF3279"/>
    <w:rsid w:val="00BF3B4E"/>
    <w:rsid w:val="00BF3DE6"/>
    <w:rsid w:val="00BF74C7"/>
    <w:rsid w:val="00C015F1"/>
    <w:rsid w:val="00C01F33"/>
    <w:rsid w:val="00C02CC6"/>
    <w:rsid w:val="00C040F7"/>
    <w:rsid w:val="00C044AB"/>
    <w:rsid w:val="00C05706"/>
    <w:rsid w:val="00C07377"/>
    <w:rsid w:val="00C10478"/>
    <w:rsid w:val="00C12107"/>
    <w:rsid w:val="00C14D4B"/>
    <w:rsid w:val="00C154BB"/>
    <w:rsid w:val="00C21E18"/>
    <w:rsid w:val="00C279B5"/>
    <w:rsid w:val="00C27C45"/>
    <w:rsid w:val="00C312B7"/>
    <w:rsid w:val="00C324B1"/>
    <w:rsid w:val="00C342CD"/>
    <w:rsid w:val="00C36BB9"/>
    <w:rsid w:val="00C3719D"/>
    <w:rsid w:val="00C37CB2"/>
    <w:rsid w:val="00C473A5"/>
    <w:rsid w:val="00C54995"/>
    <w:rsid w:val="00C54D41"/>
    <w:rsid w:val="00C573C4"/>
    <w:rsid w:val="00C60783"/>
    <w:rsid w:val="00C64672"/>
    <w:rsid w:val="00C70697"/>
    <w:rsid w:val="00C715CE"/>
    <w:rsid w:val="00C72093"/>
    <w:rsid w:val="00C72EF4"/>
    <w:rsid w:val="00C744FE"/>
    <w:rsid w:val="00C75D2F"/>
    <w:rsid w:val="00C767BE"/>
    <w:rsid w:val="00C76E3C"/>
    <w:rsid w:val="00C81568"/>
    <w:rsid w:val="00C83CB7"/>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105A"/>
    <w:rsid w:val="00CE7561"/>
    <w:rsid w:val="00CF1354"/>
    <w:rsid w:val="00CF2248"/>
    <w:rsid w:val="00CF3B1F"/>
    <w:rsid w:val="00CF3BF6"/>
    <w:rsid w:val="00CF625B"/>
    <w:rsid w:val="00CF687E"/>
    <w:rsid w:val="00D02C71"/>
    <w:rsid w:val="00D030F7"/>
    <w:rsid w:val="00D0349B"/>
    <w:rsid w:val="00D0467F"/>
    <w:rsid w:val="00D10249"/>
    <w:rsid w:val="00D115C3"/>
    <w:rsid w:val="00D11897"/>
    <w:rsid w:val="00D13135"/>
    <w:rsid w:val="00D13E4E"/>
    <w:rsid w:val="00D22263"/>
    <w:rsid w:val="00D239A7"/>
    <w:rsid w:val="00D23F47"/>
    <w:rsid w:val="00D2578C"/>
    <w:rsid w:val="00D25B5D"/>
    <w:rsid w:val="00D3112A"/>
    <w:rsid w:val="00D36E71"/>
    <w:rsid w:val="00D37D87"/>
    <w:rsid w:val="00D40B33"/>
    <w:rsid w:val="00D4318F"/>
    <w:rsid w:val="00D438BF"/>
    <w:rsid w:val="00D440F8"/>
    <w:rsid w:val="00D546FF"/>
    <w:rsid w:val="00D55AD5"/>
    <w:rsid w:val="00D57488"/>
    <w:rsid w:val="00D576CA"/>
    <w:rsid w:val="00D606D0"/>
    <w:rsid w:val="00D61AF5"/>
    <w:rsid w:val="00D652B5"/>
    <w:rsid w:val="00D653AE"/>
    <w:rsid w:val="00D66155"/>
    <w:rsid w:val="00D708B0"/>
    <w:rsid w:val="00D77B1D"/>
    <w:rsid w:val="00D77DF8"/>
    <w:rsid w:val="00D8021F"/>
    <w:rsid w:val="00D80383"/>
    <w:rsid w:val="00D823C6"/>
    <w:rsid w:val="00D8327F"/>
    <w:rsid w:val="00D86CA3"/>
    <w:rsid w:val="00D871CE"/>
    <w:rsid w:val="00D91537"/>
    <w:rsid w:val="00D9196D"/>
    <w:rsid w:val="00D92982"/>
    <w:rsid w:val="00D96A17"/>
    <w:rsid w:val="00D97816"/>
    <w:rsid w:val="00DA305E"/>
    <w:rsid w:val="00DA5417"/>
    <w:rsid w:val="00DA56E8"/>
    <w:rsid w:val="00DB0A9F"/>
    <w:rsid w:val="00DB377D"/>
    <w:rsid w:val="00DB560A"/>
    <w:rsid w:val="00DC11C9"/>
    <w:rsid w:val="00DC2D36"/>
    <w:rsid w:val="00DC47B3"/>
    <w:rsid w:val="00DC53EF"/>
    <w:rsid w:val="00DE0AA4"/>
    <w:rsid w:val="00DE5608"/>
    <w:rsid w:val="00DE58D0"/>
    <w:rsid w:val="00DE654F"/>
    <w:rsid w:val="00DF0B6E"/>
    <w:rsid w:val="00DF15E0"/>
    <w:rsid w:val="00DF37A0"/>
    <w:rsid w:val="00E110E7"/>
    <w:rsid w:val="00E11B20"/>
    <w:rsid w:val="00E16627"/>
    <w:rsid w:val="00E168B4"/>
    <w:rsid w:val="00E17FA2"/>
    <w:rsid w:val="00E217BF"/>
    <w:rsid w:val="00E220BA"/>
    <w:rsid w:val="00E22330"/>
    <w:rsid w:val="00E30B5A"/>
    <w:rsid w:val="00E3123D"/>
    <w:rsid w:val="00E31461"/>
    <w:rsid w:val="00E31D43"/>
    <w:rsid w:val="00E32608"/>
    <w:rsid w:val="00E33073"/>
    <w:rsid w:val="00E34188"/>
    <w:rsid w:val="00E34B6E"/>
    <w:rsid w:val="00E35559"/>
    <w:rsid w:val="00E3723A"/>
    <w:rsid w:val="00E37860"/>
    <w:rsid w:val="00E37A90"/>
    <w:rsid w:val="00E4342F"/>
    <w:rsid w:val="00E44493"/>
    <w:rsid w:val="00E446F1"/>
    <w:rsid w:val="00E46886"/>
    <w:rsid w:val="00E47AEF"/>
    <w:rsid w:val="00E53B75"/>
    <w:rsid w:val="00E54E3B"/>
    <w:rsid w:val="00E57565"/>
    <w:rsid w:val="00E6180E"/>
    <w:rsid w:val="00E63838"/>
    <w:rsid w:val="00E64434"/>
    <w:rsid w:val="00E67C51"/>
    <w:rsid w:val="00E720AA"/>
    <w:rsid w:val="00E72EFC"/>
    <w:rsid w:val="00E758EC"/>
    <w:rsid w:val="00E8234C"/>
    <w:rsid w:val="00E83AA9"/>
    <w:rsid w:val="00E856C9"/>
    <w:rsid w:val="00E85928"/>
    <w:rsid w:val="00E87822"/>
    <w:rsid w:val="00E90395"/>
    <w:rsid w:val="00E90E49"/>
    <w:rsid w:val="00E917F9"/>
    <w:rsid w:val="00E9291C"/>
    <w:rsid w:val="00E93FFE"/>
    <w:rsid w:val="00E94F8A"/>
    <w:rsid w:val="00E96ABC"/>
    <w:rsid w:val="00EA6BD5"/>
    <w:rsid w:val="00EA7A41"/>
    <w:rsid w:val="00EB077B"/>
    <w:rsid w:val="00EB3BC9"/>
    <w:rsid w:val="00EB4A31"/>
    <w:rsid w:val="00EB4EA2"/>
    <w:rsid w:val="00EB5C7A"/>
    <w:rsid w:val="00EB630C"/>
    <w:rsid w:val="00EB75EC"/>
    <w:rsid w:val="00EC0A9A"/>
    <w:rsid w:val="00EC24D5"/>
    <w:rsid w:val="00EC27C6"/>
    <w:rsid w:val="00EC4207"/>
    <w:rsid w:val="00EC5653"/>
    <w:rsid w:val="00EC71CE"/>
    <w:rsid w:val="00ED1006"/>
    <w:rsid w:val="00EE44D2"/>
    <w:rsid w:val="00EE728D"/>
    <w:rsid w:val="00EE7D53"/>
    <w:rsid w:val="00EF09BF"/>
    <w:rsid w:val="00EF18FE"/>
    <w:rsid w:val="00EF44F1"/>
    <w:rsid w:val="00EF5787"/>
    <w:rsid w:val="00EF5A31"/>
    <w:rsid w:val="00EF60D0"/>
    <w:rsid w:val="00EF7B6A"/>
    <w:rsid w:val="00F048D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695"/>
    <w:rsid w:val="00F5060E"/>
    <w:rsid w:val="00F506AD"/>
    <w:rsid w:val="00F507D1"/>
    <w:rsid w:val="00F519CE"/>
    <w:rsid w:val="00F51ADA"/>
    <w:rsid w:val="00F51B1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978F0"/>
    <w:rsid w:val="00FA2BB3"/>
    <w:rsid w:val="00FA4CAA"/>
    <w:rsid w:val="00FB053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3331"/>
    <w:rsid w:val="00FF37D6"/>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character" w:customStyle="1" w:styleId="TACChar">
    <w:name w:val="TAC Char"/>
    <w:basedOn w:val="DefaultParagraphFont"/>
    <w:link w:val="TAC"/>
    <w:locked/>
    <w:rsid w:val="006D13BC"/>
    <w:rPr>
      <w:rFonts w:ascii="Arial" w:hAnsi="Arial"/>
      <w:sz w:val="18"/>
      <w:lang w:val="x-none" w:eastAsia="x-none"/>
    </w:rPr>
  </w:style>
  <w:style w:type="character" w:customStyle="1" w:styleId="TALChar">
    <w:name w:val="TAL Char"/>
    <w:basedOn w:val="DefaultParagraphFont"/>
    <w:locked/>
    <w:rsid w:val="00D77DF8"/>
    <w:rPr>
      <w:rFonts w:ascii="Arial" w:hAnsi="Arial" w:cs="Arial"/>
    </w:rPr>
  </w:style>
  <w:style w:type="paragraph" w:styleId="Revision">
    <w:name w:val="Revision"/>
    <w:hidden/>
    <w:uiPriority w:val="99"/>
    <w:semiHidden/>
    <w:rsid w:val="007A299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665404413">
      <w:bodyDiv w:val="1"/>
      <w:marLeft w:val="0"/>
      <w:marRight w:val="0"/>
      <w:marTop w:val="0"/>
      <w:marBottom w:val="0"/>
      <w:divBdr>
        <w:top w:val="none" w:sz="0" w:space="0" w:color="auto"/>
        <w:left w:val="none" w:sz="0" w:space="0" w:color="auto"/>
        <w:bottom w:val="none" w:sz="0" w:space="0" w:color="auto"/>
        <w:right w:val="none" w:sz="0" w:space="0" w:color="auto"/>
      </w:divBdr>
    </w:div>
    <w:div w:id="753745869">
      <w:bodyDiv w:val="1"/>
      <w:marLeft w:val="0"/>
      <w:marRight w:val="0"/>
      <w:marTop w:val="0"/>
      <w:marBottom w:val="0"/>
      <w:divBdr>
        <w:top w:val="none" w:sz="0" w:space="0" w:color="auto"/>
        <w:left w:val="none" w:sz="0" w:space="0" w:color="auto"/>
        <w:bottom w:val="none" w:sz="0" w:space="0" w:color="auto"/>
        <w:right w:val="none" w:sz="0" w:space="0" w:color="auto"/>
      </w:divBdr>
    </w:div>
    <w:div w:id="113976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cid:image004.png@01D450E9.06F26D20" TargetMode="External"/><Relationship Id="rId26" Type="http://schemas.openxmlformats.org/officeDocument/2006/relationships/image" Target="cid:image008.png@01D450E9.06F26D20" TargetMode="External"/><Relationship Id="rId39"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cid:image012.png@01D450E9.06F26D20" TargetMode="External"/><Relationship Id="rId42" Type="http://schemas.openxmlformats.org/officeDocument/2006/relationships/image" Target="cid:image016.png@01D450E9.06F26D20" TargetMode="External"/><Relationship Id="rId47" Type="http://schemas.openxmlformats.org/officeDocument/2006/relationships/image" Target="media/image21.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cid:image001.png@01D450E9.06F26D20"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image" Target="cid:image014.png@01D450E9.06F26D20" TargetMode="External"/><Relationship Id="rId46" Type="http://schemas.openxmlformats.org/officeDocument/2006/relationships/image" Target="cid:image018.png@01D450E9.06F26D20" TargetMode="External"/><Relationship Id="rId2" Type="http://schemas.openxmlformats.org/officeDocument/2006/relationships/numbering" Target="numbering.xml"/><Relationship Id="rId16" Type="http://schemas.openxmlformats.org/officeDocument/2006/relationships/image" Target="cid:image003.png@01D450E9.06F26D20" TargetMode="External"/><Relationship Id="rId20" Type="http://schemas.openxmlformats.org/officeDocument/2006/relationships/image" Target="cid:image005.png@01D450E9.06F26D20" TargetMode="External"/><Relationship Id="rId29" Type="http://schemas.openxmlformats.org/officeDocument/2006/relationships/image" Target="media/image12.png"/><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cid:image007.png@01D450E9.06F26D20" TargetMode="External"/><Relationship Id="rId32" Type="http://schemas.openxmlformats.org/officeDocument/2006/relationships/image" Target="cid:image011.png@01D450E9.06F26D20" TargetMode="External"/><Relationship Id="rId37" Type="http://schemas.openxmlformats.org/officeDocument/2006/relationships/image" Target="media/image16.png"/><Relationship Id="rId40" Type="http://schemas.openxmlformats.org/officeDocument/2006/relationships/image" Target="cid:image015.png@01D450E9.06F26D20" TargetMode="External"/><Relationship Id="rId45"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cid:image009.png@01D450E9.06F26D20" TargetMode="External"/><Relationship Id="rId36" Type="http://schemas.openxmlformats.org/officeDocument/2006/relationships/image" Target="cid:image013.png@01D450E9.06F26D20"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image" Target="cid:image017.png@01D450E9.06F26D20"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2.png@01D450E9.06F26D20" TargetMode="External"/><Relationship Id="rId22" Type="http://schemas.openxmlformats.org/officeDocument/2006/relationships/image" Target="cid:image006.png@01D450E9.06F26D20" TargetMode="External"/><Relationship Id="rId27" Type="http://schemas.openxmlformats.org/officeDocument/2006/relationships/image" Target="media/image11.png"/><Relationship Id="rId30" Type="http://schemas.openxmlformats.org/officeDocument/2006/relationships/image" Target="cid:image010.png@01D450E9.06F26D20" TargetMode="External"/><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image" Target="cid:image019.png@01D450E9.06F26D20" TargetMode="External"/><Relationship Id="rId8" Type="http://schemas.openxmlformats.org/officeDocument/2006/relationships/image" Target="media/image1.png"/><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7FED8-F2E4-43F5-ADDF-A7F160BF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565</TotalTime>
  <Pages>6</Pages>
  <Words>1970</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30</cp:revision>
  <cp:lastPrinted>2008-01-31T07:09:00Z</cp:lastPrinted>
  <dcterms:created xsi:type="dcterms:W3CDTF">2018-10-13T12:33:00Z</dcterms:created>
  <dcterms:modified xsi:type="dcterms:W3CDTF">2018-11-02T15:40:00Z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